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0DD" w:rsidRPr="003763B4" w:rsidRDefault="007C73B6">
      <w:pPr>
        <w:pStyle w:val="Brdtekst"/>
        <w:rPr>
          <w:lang w:val="en-GB"/>
        </w:rPr>
      </w:pPr>
      <w:bookmarkStart w:id="0" w:name="_GoBack"/>
      <w:bookmarkEnd w:id="0"/>
      <w:r>
        <w:rPr>
          <w:noProof/>
          <w:lang w:val="en-GB" w:eastAsia="en-GB"/>
        </w:rPr>
        <w:drawing>
          <wp:anchor distT="0" distB="0" distL="114300" distR="114300" simplePos="0" relativeHeight="251658240" behindDoc="1" locked="0" layoutInCell="1" allowOverlap="1" wp14:anchorId="7BA300CE" wp14:editId="3762D1ED">
            <wp:simplePos x="0" y="0"/>
            <wp:positionH relativeFrom="column">
              <wp:posOffset>4505325</wp:posOffset>
            </wp:positionH>
            <wp:positionV relativeFrom="paragraph">
              <wp:posOffset>-173355</wp:posOffset>
            </wp:positionV>
            <wp:extent cx="1440180" cy="714375"/>
            <wp:effectExtent l="0" t="0" r="7620" b="9525"/>
            <wp:wrapTight wrapText="bothSides">
              <wp:wrapPolygon edited="0">
                <wp:start x="5143" y="0"/>
                <wp:lineTo x="0" y="2304"/>
                <wp:lineTo x="0" y="9216"/>
                <wp:lineTo x="2000" y="12672"/>
                <wp:lineTo x="4000" y="18432"/>
                <wp:lineTo x="4000" y="21312"/>
                <wp:lineTo x="16857" y="21312"/>
                <wp:lineTo x="17714" y="18432"/>
                <wp:lineTo x="21429" y="11520"/>
                <wp:lineTo x="21429" y="3456"/>
                <wp:lineTo x="6571" y="0"/>
                <wp:lineTo x="5143" y="0"/>
              </wp:wrapPolygon>
            </wp:wrapTight>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HIP_logotype_cmyk.png"/>
                    <pic:cNvPicPr/>
                  </pic:nvPicPr>
                  <pic:blipFill>
                    <a:blip r:embed="rId9">
                      <a:extLst>
                        <a:ext uri="{28A0092B-C50C-407E-A947-70E740481C1C}">
                          <a14:useLocalDpi xmlns:a14="http://schemas.microsoft.com/office/drawing/2010/main" val="0"/>
                        </a:ext>
                      </a:extLst>
                    </a:blip>
                    <a:stretch>
                      <a:fillRect/>
                    </a:stretch>
                  </pic:blipFill>
                  <pic:spPr>
                    <a:xfrm>
                      <a:off x="0" y="0"/>
                      <a:ext cx="1440180" cy="714375"/>
                    </a:xfrm>
                    <a:prstGeom prst="rect">
                      <a:avLst/>
                    </a:prstGeom>
                  </pic:spPr>
                </pic:pic>
              </a:graphicData>
            </a:graphic>
            <wp14:sizeRelH relativeFrom="page">
              <wp14:pctWidth>0</wp14:pctWidth>
            </wp14:sizeRelH>
            <wp14:sizeRelV relativeFrom="page">
              <wp14:pctHeight>0</wp14:pctHeight>
            </wp14:sizeRelV>
          </wp:anchor>
        </w:drawing>
      </w:r>
      <w:r w:rsidR="00EC50DD" w:rsidRPr="005B2582">
        <w:rPr>
          <w:b/>
          <w:lang w:val="en-GB"/>
        </w:rPr>
        <w:t>EU Strategy for the Baltic Sea Region</w:t>
      </w:r>
    </w:p>
    <w:p w:rsidR="00EC50DD" w:rsidRDefault="0085074B">
      <w:pPr>
        <w:pStyle w:val="Brdtekst"/>
        <w:rPr>
          <w:lang w:val="en-GB"/>
        </w:rPr>
      </w:pPr>
      <w:r>
        <w:rPr>
          <w:lang w:val="en-GB"/>
        </w:rPr>
        <w:t>Policy</w:t>
      </w:r>
      <w:r w:rsidR="00EC50DD">
        <w:rPr>
          <w:lang w:val="en-GB"/>
        </w:rPr>
        <w:t xml:space="preserve"> Area on Clean Shipping</w:t>
      </w:r>
    </w:p>
    <w:p w:rsidR="007C73B6" w:rsidRDefault="007C73B6">
      <w:pPr>
        <w:pStyle w:val="Brdtekst"/>
        <w:rPr>
          <w:lang w:val="en-GB"/>
        </w:rPr>
      </w:pPr>
    </w:p>
    <w:p w:rsidR="007C73B6" w:rsidRDefault="007C73B6">
      <w:pPr>
        <w:pStyle w:val="Brdtekst"/>
        <w:rPr>
          <w:lang w:val="en-GB"/>
        </w:rPr>
      </w:pPr>
    </w:p>
    <w:p w:rsidR="00D55097" w:rsidRDefault="00D55097" w:rsidP="00EC77C8">
      <w:pPr>
        <w:pStyle w:val="Brdtekst"/>
        <w:jc w:val="right"/>
        <w:rPr>
          <w:lang w:val="en-GB"/>
        </w:rPr>
      </w:pPr>
      <w:r>
        <w:rPr>
          <w:lang w:val="en-GB"/>
        </w:rPr>
        <w:t xml:space="preserve">Copenhagen, </w:t>
      </w:r>
      <w:r w:rsidR="00DC2070">
        <w:rPr>
          <w:lang w:val="en-GB"/>
        </w:rPr>
        <w:t>24</w:t>
      </w:r>
      <w:r>
        <w:rPr>
          <w:lang w:val="en-GB"/>
        </w:rPr>
        <w:t xml:space="preserve"> </w:t>
      </w:r>
      <w:r w:rsidR="00B00B91">
        <w:rPr>
          <w:lang w:val="en-GB"/>
        </w:rPr>
        <w:t>April 2015</w:t>
      </w:r>
    </w:p>
    <w:p w:rsidR="007C15A8" w:rsidRPr="007C15A8" w:rsidRDefault="007C15A8" w:rsidP="00EC77C8">
      <w:pPr>
        <w:pStyle w:val="Brdtekst"/>
        <w:jc w:val="center"/>
        <w:rPr>
          <w:b/>
          <w:lang w:val="en-GB"/>
        </w:rPr>
      </w:pPr>
      <w:r w:rsidRPr="007C15A8">
        <w:rPr>
          <w:b/>
          <w:lang w:val="en-GB"/>
        </w:rPr>
        <w:t>Discussion paper</w:t>
      </w:r>
    </w:p>
    <w:p w:rsidR="00DC2070" w:rsidRDefault="007C15A8" w:rsidP="007C73B6">
      <w:pPr>
        <w:pStyle w:val="Brdtekst"/>
        <w:jc w:val="center"/>
        <w:rPr>
          <w:b/>
          <w:lang w:val="en-GB"/>
        </w:rPr>
      </w:pPr>
      <w:r w:rsidRPr="007C15A8">
        <w:rPr>
          <w:b/>
          <w:lang w:val="en-GB"/>
        </w:rPr>
        <w:t xml:space="preserve">Reflections on the desired role of PA Ship in </w:t>
      </w:r>
      <w:r w:rsidR="00DC2070">
        <w:rPr>
          <w:b/>
          <w:lang w:val="en-GB"/>
        </w:rPr>
        <w:t xml:space="preserve">alignment of funding,  </w:t>
      </w:r>
    </w:p>
    <w:p w:rsidR="007C15A8" w:rsidRDefault="007C15A8" w:rsidP="007C73B6">
      <w:pPr>
        <w:pStyle w:val="Brdtekst"/>
        <w:jc w:val="center"/>
        <w:rPr>
          <w:b/>
          <w:lang w:val="en-GB"/>
        </w:rPr>
      </w:pPr>
      <w:proofErr w:type="gramStart"/>
      <w:r w:rsidRPr="007C15A8">
        <w:rPr>
          <w:b/>
          <w:lang w:val="en-GB"/>
        </w:rPr>
        <w:t>project</w:t>
      </w:r>
      <w:proofErr w:type="gramEnd"/>
      <w:r w:rsidRPr="007C15A8">
        <w:rPr>
          <w:b/>
          <w:lang w:val="en-GB"/>
        </w:rPr>
        <w:t xml:space="preserve"> selection and endorsement</w:t>
      </w:r>
      <w:r>
        <w:rPr>
          <w:b/>
          <w:lang w:val="en-GB"/>
        </w:rPr>
        <w:t xml:space="preserve"> </w:t>
      </w:r>
      <w:r>
        <w:rPr>
          <w:b/>
          <w:lang w:val="en-GB"/>
        </w:rPr>
        <w:br/>
      </w:r>
    </w:p>
    <w:p w:rsidR="00DC2070" w:rsidRPr="007C15A8" w:rsidRDefault="00B00B91" w:rsidP="00DC2070">
      <w:pPr>
        <w:pStyle w:val="Brdtekst"/>
        <w:jc w:val="center"/>
        <w:rPr>
          <w:lang w:val="en-GB"/>
        </w:rPr>
      </w:pPr>
      <w:r>
        <w:rPr>
          <w:lang w:val="en-GB"/>
        </w:rPr>
        <w:t>4</w:t>
      </w:r>
      <w:r>
        <w:rPr>
          <w:vertAlign w:val="superscript"/>
          <w:lang w:val="en-GB"/>
        </w:rPr>
        <w:t>th</w:t>
      </w:r>
      <w:r w:rsidR="00453883">
        <w:rPr>
          <w:lang w:val="en-GB"/>
        </w:rPr>
        <w:t xml:space="preserve"> </w:t>
      </w:r>
      <w:r w:rsidR="00A37AD6">
        <w:rPr>
          <w:lang w:val="en-GB"/>
        </w:rPr>
        <w:t>i</w:t>
      </w:r>
      <w:r w:rsidR="0070539E">
        <w:rPr>
          <w:lang w:val="en-GB"/>
        </w:rPr>
        <w:t>nterna</w:t>
      </w:r>
      <w:r w:rsidR="003763B4">
        <w:rPr>
          <w:lang w:val="en-GB"/>
        </w:rPr>
        <w:t xml:space="preserve">tional Steering Committee </w:t>
      </w:r>
      <w:r w:rsidR="00A37AD6">
        <w:rPr>
          <w:lang w:val="en-GB"/>
        </w:rPr>
        <w:t>m</w:t>
      </w:r>
      <w:r w:rsidR="003763B4">
        <w:rPr>
          <w:lang w:val="en-GB"/>
        </w:rPr>
        <w:t>eeti</w:t>
      </w:r>
      <w:r w:rsidR="0070539E">
        <w:rPr>
          <w:lang w:val="en-GB"/>
        </w:rPr>
        <w:t>ng</w:t>
      </w:r>
      <w:r w:rsidR="007C15A8">
        <w:rPr>
          <w:lang w:val="en-GB"/>
        </w:rPr>
        <w:t xml:space="preserve">, 7 May 2015 in </w:t>
      </w:r>
      <w:proofErr w:type="gramStart"/>
      <w:r w:rsidR="007C15A8">
        <w:rPr>
          <w:lang w:val="en-GB"/>
        </w:rPr>
        <w:t>Copenhagen</w:t>
      </w:r>
      <w:proofErr w:type="gramEnd"/>
      <w:r w:rsidR="00DC2070">
        <w:rPr>
          <w:lang w:val="en-GB"/>
        </w:rPr>
        <w:br/>
      </w:r>
      <w:r w:rsidR="00DC2070" w:rsidRPr="007C15A8">
        <w:rPr>
          <w:lang w:val="en-GB"/>
        </w:rPr>
        <w:t>(document pertaining to agenda item 5 of the draft agenda)</w:t>
      </w:r>
    </w:p>
    <w:p w:rsidR="007C15A8" w:rsidRDefault="007C15A8" w:rsidP="007C15A8">
      <w:pPr>
        <w:pStyle w:val="Brdtekst"/>
        <w:rPr>
          <w:i/>
          <w:szCs w:val="24"/>
          <w:lang w:val="en-GB"/>
        </w:rPr>
      </w:pPr>
    </w:p>
    <w:p w:rsidR="007C15A8" w:rsidRDefault="007C15A8" w:rsidP="007C15A8">
      <w:pPr>
        <w:pStyle w:val="Brdtekst"/>
        <w:rPr>
          <w:szCs w:val="24"/>
          <w:lang w:val="en-GB"/>
        </w:rPr>
      </w:pPr>
      <w:r w:rsidRPr="007C15A8">
        <w:rPr>
          <w:szCs w:val="24"/>
          <w:lang w:val="en-GB"/>
        </w:rPr>
        <w:t xml:space="preserve">In the programming of the 2014-2020 EU funding instruments, </w:t>
      </w:r>
      <w:r>
        <w:rPr>
          <w:szCs w:val="24"/>
          <w:lang w:val="en-GB"/>
        </w:rPr>
        <w:t>much emphasis has been on the “alignment of funding” by</w:t>
      </w:r>
      <w:r w:rsidR="0085074B">
        <w:rPr>
          <w:szCs w:val="24"/>
          <w:lang w:val="en-GB"/>
        </w:rPr>
        <w:t xml:space="preserve"> which is understood a desire to align</w:t>
      </w:r>
      <w:r>
        <w:rPr>
          <w:szCs w:val="24"/>
          <w:lang w:val="en-GB"/>
        </w:rPr>
        <w:t xml:space="preserve"> the EU funding opportunities with the agreed EU pol</w:t>
      </w:r>
      <w:r w:rsidR="0085074B">
        <w:rPr>
          <w:szCs w:val="24"/>
          <w:lang w:val="en-GB"/>
        </w:rPr>
        <w:t>icies, in order to increase the likeliness</w:t>
      </w:r>
      <w:r>
        <w:rPr>
          <w:szCs w:val="24"/>
          <w:lang w:val="en-GB"/>
        </w:rPr>
        <w:t xml:space="preserve"> that the funding will support and in some case speed</w:t>
      </w:r>
      <w:r w:rsidR="0085074B">
        <w:rPr>
          <w:szCs w:val="24"/>
          <w:lang w:val="en-GB"/>
        </w:rPr>
        <w:t>-</w:t>
      </w:r>
      <w:r>
        <w:rPr>
          <w:szCs w:val="24"/>
          <w:lang w:val="en-GB"/>
        </w:rPr>
        <w:t>up the im</w:t>
      </w:r>
      <w:r w:rsidR="0085074B">
        <w:rPr>
          <w:szCs w:val="24"/>
          <w:lang w:val="en-GB"/>
        </w:rPr>
        <w:t>plementation of</w:t>
      </w:r>
      <w:r>
        <w:rPr>
          <w:szCs w:val="24"/>
          <w:lang w:val="en-GB"/>
        </w:rPr>
        <w:t xml:space="preserve"> adopted policies. </w:t>
      </w:r>
    </w:p>
    <w:p w:rsidR="007C15A8" w:rsidRDefault="007C15A8" w:rsidP="007C15A8">
      <w:pPr>
        <w:pStyle w:val="Brdtekst"/>
        <w:rPr>
          <w:szCs w:val="24"/>
          <w:lang w:val="en-GB"/>
        </w:rPr>
      </w:pPr>
    </w:p>
    <w:p w:rsidR="007C15A8" w:rsidRDefault="007C15A8" w:rsidP="007C15A8">
      <w:pPr>
        <w:pStyle w:val="Brdtekst"/>
        <w:rPr>
          <w:szCs w:val="24"/>
          <w:lang w:val="en-GB"/>
        </w:rPr>
      </w:pPr>
      <w:r>
        <w:rPr>
          <w:szCs w:val="24"/>
          <w:lang w:val="en-GB"/>
        </w:rPr>
        <w:t xml:space="preserve">Also at macro-regional level alignment of funding has been strived for. As a part of this, the actors of the EU Strategy for the Baltic Sea Region, including the Policy Area on Clean Shipping (until </w:t>
      </w:r>
      <w:proofErr w:type="gramStart"/>
      <w:r>
        <w:rPr>
          <w:szCs w:val="24"/>
          <w:lang w:val="en-GB"/>
        </w:rPr>
        <w:t>Spring</w:t>
      </w:r>
      <w:proofErr w:type="gramEnd"/>
      <w:r>
        <w:rPr>
          <w:szCs w:val="24"/>
          <w:lang w:val="en-GB"/>
        </w:rPr>
        <w:t xml:space="preserve"> 2015 named Priority Area) has been invited to </w:t>
      </w:r>
      <w:r w:rsidR="000D4CE0">
        <w:rPr>
          <w:szCs w:val="24"/>
          <w:lang w:val="en-GB"/>
        </w:rPr>
        <w:t>provide input for the programming and prioritisation of e.g. several EU funding programmes in the Baltic Sea Region.</w:t>
      </w:r>
    </w:p>
    <w:p w:rsidR="000D4CE0" w:rsidRDefault="000D4CE0" w:rsidP="007C15A8">
      <w:pPr>
        <w:pStyle w:val="Brdtekst"/>
        <w:rPr>
          <w:szCs w:val="24"/>
          <w:lang w:val="en-GB"/>
        </w:rPr>
      </w:pPr>
    </w:p>
    <w:p w:rsidR="000D4CE0" w:rsidRPr="000D4CE0" w:rsidRDefault="000D4CE0" w:rsidP="000D4CE0">
      <w:pPr>
        <w:pStyle w:val="Brdtekst"/>
        <w:rPr>
          <w:szCs w:val="24"/>
          <w:lang w:val="en-GB"/>
        </w:rPr>
      </w:pPr>
      <w:r>
        <w:rPr>
          <w:szCs w:val="24"/>
          <w:lang w:val="en-GB"/>
        </w:rPr>
        <w:t>This is clearly within the task of a Policy Area Coordinator, whose tasks and responsibilities inter alia include to “</w:t>
      </w:r>
      <w:proofErr w:type="gramStart"/>
      <w:r w:rsidR="00521C7B">
        <w:rPr>
          <w:szCs w:val="24"/>
          <w:lang w:val="en-GB"/>
        </w:rPr>
        <w:t>m</w:t>
      </w:r>
      <w:r w:rsidRPr="000D4CE0">
        <w:rPr>
          <w:szCs w:val="24"/>
          <w:lang w:val="en-GB"/>
        </w:rPr>
        <w:t>aintain</w:t>
      </w:r>
      <w:proofErr w:type="gramEnd"/>
      <w:r w:rsidRPr="000D4CE0">
        <w:rPr>
          <w:szCs w:val="24"/>
          <w:lang w:val="en-GB"/>
        </w:rPr>
        <w:t xml:space="preserve"> a dialogue with bodies in charge of implementation of program</w:t>
      </w:r>
      <w:r w:rsidRPr="000D4CE0">
        <w:rPr>
          <w:szCs w:val="24"/>
          <w:lang w:val="en-GB"/>
        </w:rPr>
        <w:softHyphen/>
        <w:t>mes/financial i</w:t>
      </w:r>
      <w:r w:rsidRPr="000D4CE0">
        <w:rPr>
          <w:szCs w:val="24"/>
          <w:lang w:val="en-GB"/>
        </w:rPr>
        <w:t>n</w:t>
      </w:r>
      <w:r w:rsidRPr="000D4CE0">
        <w:rPr>
          <w:szCs w:val="24"/>
          <w:lang w:val="en-GB"/>
        </w:rPr>
        <w:t>struments on alignment of funding for implementation of the Priority Area and flagship projects</w:t>
      </w:r>
      <w:r w:rsidRPr="00521C7B">
        <w:rPr>
          <w:szCs w:val="24"/>
          <w:vertAlign w:val="superscript"/>
          <w:lang w:val="en-GB"/>
        </w:rPr>
        <w:footnoteReference w:id="1"/>
      </w:r>
      <w:r w:rsidR="00521C7B">
        <w:rPr>
          <w:szCs w:val="24"/>
          <w:lang w:val="en-GB"/>
        </w:rPr>
        <w:t>”</w:t>
      </w:r>
      <w:r w:rsidRPr="000D4CE0">
        <w:rPr>
          <w:szCs w:val="24"/>
          <w:lang w:val="en-GB"/>
        </w:rPr>
        <w:t xml:space="preserve">. </w:t>
      </w:r>
    </w:p>
    <w:p w:rsidR="000D4CE0" w:rsidRPr="00521C7B" w:rsidRDefault="000D4CE0" w:rsidP="007C15A8">
      <w:pPr>
        <w:pStyle w:val="Brdtekst"/>
        <w:rPr>
          <w:szCs w:val="24"/>
          <w:lang w:val="en-GB"/>
        </w:rPr>
      </w:pPr>
    </w:p>
    <w:p w:rsidR="000D4CE0" w:rsidRPr="007C15A8" w:rsidRDefault="000D4CE0" w:rsidP="007C15A8">
      <w:pPr>
        <w:pStyle w:val="Brdtekst"/>
        <w:rPr>
          <w:szCs w:val="24"/>
          <w:lang w:val="en-GB"/>
        </w:rPr>
      </w:pPr>
      <w:r>
        <w:rPr>
          <w:szCs w:val="24"/>
          <w:lang w:val="en-GB"/>
        </w:rPr>
        <w:t>The Danish Maritime Authority acting in its capacity as Policy Area Coordinator for clean shipping has engaged itself in this work to the best of its ability within the given resources, and has so far ch</w:t>
      </w:r>
      <w:r>
        <w:rPr>
          <w:szCs w:val="24"/>
          <w:lang w:val="en-GB"/>
        </w:rPr>
        <w:t>o</w:t>
      </w:r>
      <w:r>
        <w:rPr>
          <w:szCs w:val="24"/>
          <w:lang w:val="en-GB"/>
        </w:rPr>
        <w:t xml:space="preserve">sen to lobby for good and regular funding opportunities for clean shipping related projects in a broad sense. We believe that </w:t>
      </w:r>
      <w:r w:rsidR="00521C7B">
        <w:rPr>
          <w:szCs w:val="24"/>
          <w:lang w:val="en-GB"/>
        </w:rPr>
        <w:t xml:space="preserve">this way </w:t>
      </w:r>
      <w:r w:rsidR="00CF1373">
        <w:rPr>
          <w:szCs w:val="24"/>
          <w:lang w:val="en-GB"/>
        </w:rPr>
        <w:t>we have contributed to achieving a</w:t>
      </w:r>
      <w:r>
        <w:rPr>
          <w:szCs w:val="24"/>
          <w:lang w:val="en-GB"/>
        </w:rPr>
        <w:t xml:space="preserve"> relatively prominent prioritisation of clean shipping in a number of </w:t>
      </w:r>
      <w:r w:rsidR="00521C7B">
        <w:rPr>
          <w:szCs w:val="24"/>
          <w:lang w:val="en-GB"/>
        </w:rPr>
        <w:t xml:space="preserve">regional EU </w:t>
      </w:r>
      <w:r>
        <w:rPr>
          <w:szCs w:val="24"/>
          <w:lang w:val="en-GB"/>
        </w:rPr>
        <w:t xml:space="preserve">funding programmes. </w:t>
      </w:r>
    </w:p>
    <w:p w:rsidR="007C15A8" w:rsidRDefault="007C15A8" w:rsidP="007C15A8">
      <w:pPr>
        <w:pStyle w:val="Brdtekst"/>
        <w:rPr>
          <w:szCs w:val="24"/>
          <w:lang w:val="en-GB"/>
        </w:rPr>
      </w:pPr>
    </w:p>
    <w:p w:rsidR="0008756F" w:rsidRDefault="00521C7B" w:rsidP="007C15A8">
      <w:pPr>
        <w:pStyle w:val="Brdtekst"/>
        <w:rPr>
          <w:szCs w:val="24"/>
          <w:lang w:val="en-GB"/>
        </w:rPr>
      </w:pPr>
      <w:r>
        <w:rPr>
          <w:szCs w:val="24"/>
          <w:lang w:val="en-GB"/>
        </w:rPr>
        <w:t xml:space="preserve">Perhaps as a consequence of the strive for alignment of funding with EU policies, including the EU Strategy for the Baltic Sea Region, we have witnessed that several EU funding programmes have started attaching importance to the view and advice of the EUSBSR policy areas in their assessment of projects applying for funding. </w:t>
      </w:r>
    </w:p>
    <w:p w:rsidR="0008756F" w:rsidRDefault="0008756F" w:rsidP="007C15A8">
      <w:pPr>
        <w:pStyle w:val="Brdtekst"/>
        <w:rPr>
          <w:szCs w:val="24"/>
          <w:lang w:val="en-GB"/>
        </w:rPr>
      </w:pPr>
    </w:p>
    <w:p w:rsidR="000D4CE0" w:rsidRPr="007C15A8" w:rsidRDefault="0008756F" w:rsidP="007C15A8">
      <w:pPr>
        <w:pStyle w:val="Brdtekst"/>
        <w:rPr>
          <w:szCs w:val="24"/>
          <w:lang w:val="en-GB"/>
        </w:rPr>
      </w:pPr>
      <w:r>
        <w:rPr>
          <w:szCs w:val="24"/>
          <w:lang w:val="en-GB"/>
        </w:rPr>
        <w:t>The programmes are seeking the advice of the EUSBSR Priority Areas in different ways, typically by asking applicant projects to present a letter of commitment or letter of support, which confirms a co</w:t>
      </w:r>
      <w:r>
        <w:rPr>
          <w:szCs w:val="24"/>
          <w:lang w:val="en-GB"/>
        </w:rPr>
        <w:t>n</w:t>
      </w:r>
      <w:r>
        <w:rPr>
          <w:szCs w:val="24"/>
          <w:lang w:val="en-GB"/>
        </w:rPr>
        <w:t xml:space="preserve">tribution of a given project to the implementation of one or more actions of the EU Strategy for the Baltic Sea Region. </w:t>
      </w:r>
      <w:r w:rsidR="00521C7B">
        <w:rPr>
          <w:szCs w:val="24"/>
          <w:lang w:val="en-GB"/>
        </w:rPr>
        <w:t xml:space="preserve"> </w:t>
      </w:r>
    </w:p>
    <w:p w:rsidR="007C15A8" w:rsidRPr="007C15A8" w:rsidRDefault="007C15A8" w:rsidP="007C15A8">
      <w:pPr>
        <w:pStyle w:val="Brdtekst"/>
        <w:rPr>
          <w:szCs w:val="24"/>
          <w:lang w:val="en-GB"/>
        </w:rPr>
      </w:pPr>
    </w:p>
    <w:p w:rsidR="007C15A8" w:rsidRDefault="0008756F" w:rsidP="007C15A8">
      <w:pPr>
        <w:pStyle w:val="Brdtekst"/>
        <w:rPr>
          <w:szCs w:val="24"/>
          <w:lang w:val="en-GB"/>
        </w:rPr>
      </w:pPr>
      <w:r>
        <w:rPr>
          <w:szCs w:val="24"/>
          <w:lang w:val="en-GB"/>
        </w:rPr>
        <w:t xml:space="preserve">This </w:t>
      </w:r>
      <w:r w:rsidR="00E00FAC">
        <w:rPr>
          <w:szCs w:val="24"/>
          <w:lang w:val="en-GB"/>
        </w:rPr>
        <w:t>implies</w:t>
      </w:r>
      <w:r>
        <w:rPr>
          <w:szCs w:val="24"/>
          <w:lang w:val="en-GB"/>
        </w:rPr>
        <w:t xml:space="preserve"> that applicant projects are increasingly turning to the Priority Area Coordinators to o</w:t>
      </w:r>
      <w:r>
        <w:rPr>
          <w:szCs w:val="24"/>
          <w:lang w:val="en-GB"/>
        </w:rPr>
        <w:t>b</w:t>
      </w:r>
      <w:r>
        <w:rPr>
          <w:szCs w:val="24"/>
          <w:lang w:val="en-GB"/>
        </w:rPr>
        <w:t xml:space="preserve">tain letters of endorsement from the </w:t>
      </w:r>
      <w:r w:rsidR="00E00FAC">
        <w:rPr>
          <w:szCs w:val="24"/>
          <w:lang w:val="en-GB"/>
        </w:rPr>
        <w:t xml:space="preserve">Priority Area, regardless of whether these projects already enjoy or simultaneously apply for Flagship Project status within the EU Strategy for the Baltic Sea Region. </w:t>
      </w:r>
    </w:p>
    <w:p w:rsidR="0008756F" w:rsidRDefault="0008756F" w:rsidP="007C15A8">
      <w:pPr>
        <w:pStyle w:val="Brdtekst"/>
        <w:rPr>
          <w:szCs w:val="24"/>
          <w:lang w:val="en-GB"/>
        </w:rPr>
      </w:pPr>
    </w:p>
    <w:p w:rsidR="0008756F" w:rsidRDefault="0008756F" w:rsidP="007C15A8">
      <w:pPr>
        <w:pStyle w:val="Brdtekst"/>
        <w:rPr>
          <w:szCs w:val="24"/>
          <w:lang w:val="en-GB"/>
        </w:rPr>
      </w:pPr>
      <w:r>
        <w:rPr>
          <w:szCs w:val="24"/>
          <w:lang w:val="en-GB"/>
        </w:rPr>
        <w:t xml:space="preserve">The Danish Maritime Authority in principle welcomes the involvement of </w:t>
      </w:r>
      <w:proofErr w:type="spellStart"/>
      <w:r>
        <w:rPr>
          <w:szCs w:val="24"/>
          <w:lang w:val="en-GB"/>
        </w:rPr>
        <w:t>sectoral</w:t>
      </w:r>
      <w:proofErr w:type="spellEnd"/>
      <w:r>
        <w:rPr>
          <w:szCs w:val="24"/>
          <w:lang w:val="en-GB"/>
        </w:rPr>
        <w:t xml:space="preserve"> experts in the pr</w:t>
      </w:r>
      <w:r>
        <w:rPr>
          <w:szCs w:val="24"/>
          <w:lang w:val="en-GB"/>
        </w:rPr>
        <w:t>o</w:t>
      </w:r>
      <w:r>
        <w:rPr>
          <w:szCs w:val="24"/>
          <w:lang w:val="en-GB"/>
        </w:rPr>
        <w:t>grammes´ assessment of applicant projects. We find that a project should not only be assessed on the qualities of its application, but also on the importance of its anticipated results. We have good exper</w:t>
      </w:r>
      <w:r>
        <w:rPr>
          <w:szCs w:val="24"/>
          <w:lang w:val="en-GB"/>
        </w:rPr>
        <w:t>i</w:t>
      </w:r>
      <w:r>
        <w:rPr>
          <w:szCs w:val="24"/>
          <w:lang w:val="en-GB"/>
        </w:rPr>
        <w:t xml:space="preserve">ence from the EUSBSR Seed Money Facility, where the Coordinator in close cooperation with the technical staff of the Facility jointly assessed project proposals. This led to coordinated positions of </w:t>
      </w:r>
      <w:r>
        <w:rPr>
          <w:szCs w:val="24"/>
          <w:lang w:val="en-GB"/>
        </w:rPr>
        <w:lastRenderedPageBreak/>
        <w:t>the PAC and the donor, and several project applicants have informed us of their positive experience with this. However, the process raises a number of principal questions, which we wish the intern</w:t>
      </w:r>
      <w:r>
        <w:rPr>
          <w:szCs w:val="24"/>
          <w:lang w:val="en-GB"/>
        </w:rPr>
        <w:t>a</w:t>
      </w:r>
      <w:r>
        <w:rPr>
          <w:szCs w:val="24"/>
          <w:lang w:val="en-GB"/>
        </w:rPr>
        <w:t xml:space="preserve">tional Steering Committee to discuss in order </w:t>
      </w:r>
      <w:r w:rsidR="00DC2070">
        <w:rPr>
          <w:szCs w:val="24"/>
          <w:lang w:val="en-GB"/>
        </w:rPr>
        <w:t xml:space="preserve">to achieve a consensus on how the PAC can </w:t>
      </w:r>
      <w:proofErr w:type="gramStart"/>
      <w:r w:rsidR="00DC2070">
        <w:rPr>
          <w:szCs w:val="24"/>
          <w:lang w:val="en-GB"/>
        </w:rPr>
        <w:t>proceed</w:t>
      </w:r>
      <w:proofErr w:type="gramEnd"/>
      <w:r w:rsidR="00DC2070">
        <w:rPr>
          <w:szCs w:val="24"/>
          <w:lang w:val="en-GB"/>
        </w:rPr>
        <w:t xml:space="preserve">. </w:t>
      </w:r>
      <w:r w:rsidR="00DC2070">
        <w:rPr>
          <w:szCs w:val="24"/>
          <w:lang w:val="en-GB"/>
        </w:rPr>
        <w:br/>
      </w:r>
      <w:r>
        <w:rPr>
          <w:szCs w:val="24"/>
          <w:lang w:val="en-GB"/>
        </w:rPr>
        <w:t xml:space="preserve">These questions include: </w:t>
      </w:r>
    </w:p>
    <w:p w:rsidR="0008756F" w:rsidRDefault="0008756F" w:rsidP="007C15A8">
      <w:pPr>
        <w:pStyle w:val="Brdtekst"/>
        <w:rPr>
          <w:szCs w:val="24"/>
          <w:lang w:val="en-GB"/>
        </w:rPr>
      </w:pPr>
    </w:p>
    <w:p w:rsidR="0008756F" w:rsidRPr="00E00FAC" w:rsidRDefault="0008756F" w:rsidP="007C15A8">
      <w:pPr>
        <w:pStyle w:val="Brdtekst"/>
        <w:rPr>
          <w:b/>
          <w:szCs w:val="24"/>
          <w:lang w:val="en-GB"/>
        </w:rPr>
      </w:pPr>
      <w:r w:rsidRPr="00E00FAC">
        <w:rPr>
          <w:b/>
          <w:szCs w:val="24"/>
          <w:lang w:val="en-GB"/>
        </w:rPr>
        <w:t>Alignment of funding (i.e. the Policy Area´s view on how to prioritise clean shipping in the EU funding programmes)</w:t>
      </w:r>
    </w:p>
    <w:p w:rsidR="0008756F" w:rsidRDefault="0008756F" w:rsidP="007C15A8">
      <w:pPr>
        <w:pStyle w:val="Brdtekst"/>
        <w:rPr>
          <w:szCs w:val="24"/>
          <w:lang w:val="en-GB"/>
        </w:rPr>
      </w:pPr>
    </w:p>
    <w:p w:rsidR="00E00FAC" w:rsidRPr="00E00FAC" w:rsidRDefault="00E00FAC" w:rsidP="007C15A8">
      <w:pPr>
        <w:pStyle w:val="Brdtekst"/>
        <w:rPr>
          <w:szCs w:val="24"/>
          <w:lang w:val="en-GB"/>
        </w:rPr>
      </w:pPr>
      <w:r>
        <w:rPr>
          <w:szCs w:val="24"/>
          <w:lang w:val="en-GB"/>
        </w:rPr>
        <w:t>So far, PA Ship has worked for better funding opportunities for clean shipping projects in a broad sense. Is time ripe for a more specific prioritisation of the thematic fields, in which the Member States would like to develop projects on clean shipping co-funded by regional EU-funding programmes? If so, which fields should be prioritised?</w:t>
      </w:r>
    </w:p>
    <w:p w:rsidR="00E00FAC" w:rsidRDefault="00E00FAC" w:rsidP="007C15A8">
      <w:pPr>
        <w:pStyle w:val="Brdtekst"/>
        <w:rPr>
          <w:szCs w:val="24"/>
          <w:lang w:val="en-GB"/>
        </w:rPr>
      </w:pPr>
    </w:p>
    <w:p w:rsidR="00E00FAC" w:rsidRDefault="00E00FAC" w:rsidP="007C15A8">
      <w:pPr>
        <w:pStyle w:val="Brdtekst"/>
        <w:rPr>
          <w:szCs w:val="24"/>
          <w:lang w:val="en-GB"/>
        </w:rPr>
      </w:pPr>
      <w:r>
        <w:rPr>
          <w:szCs w:val="24"/>
          <w:lang w:val="en-GB"/>
        </w:rPr>
        <w:t xml:space="preserve">Should both </w:t>
      </w:r>
      <w:proofErr w:type="spellStart"/>
      <w:r>
        <w:rPr>
          <w:szCs w:val="24"/>
          <w:lang w:val="en-GB"/>
        </w:rPr>
        <w:t>landbased</w:t>
      </w:r>
      <w:proofErr w:type="spellEnd"/>
      <w:r>
        <w:rPr>
          <w:szCs w:val="24"/>
          <w:lang w:val="en-GB"/>
        </w:rPr>
        <w:t xml:space="preserve"> initiatives and installations at sea be equally supported? Do we wish to </w:t>
      </w:r>
      <w:proofErr w:type="spellStart"/>
      <w:r>
        <w:rPr>
          <w:szCs w:val="24"/>
          <w:lang w:val="en-GB"/>
        </w:rPr>
        <w:t>prio-ritise</w:t>
      </w:r>
      <w:proofErr w:type="spellEnd"/>
      <w:r>
        <w:rPr>
          <w:szCs w:val="24"/>
          <w:lang w:val="en-GB"/>
        </w:rPr>
        <w:t xml:space="preserve"> certain technologies? Do we have sub-regional/geographical priorities? </w:t>
      </w:r>
    </w:p>
    <w:p w:rsidR="0008756F" w:rsidRDefault="0008756F" w:rsidP="007C15A8">
      <w:pPr>
        <w:pStyle w:val="Brdtekst"/>
        <w:rPr>
          <w:szCs w:val="24"/>
          <w:lang w:val="en-GB"/>
        </w:rPr>
      </w:pPr>
    </w:p>
    <w:p w:rsidR="00E00FAC" w:rsidRDefault="00E00FAC" w:rsidP="007C15A8">
      <w:pPr>
        <w:pStyle w:val="Brdtekst"/>
        <w:rPr>
          <w:szCs w:val="24"/>
          <w:lang w:val="en-GB"/>
        </w:rPr>
      </w:pPr>
      <w:r>
        <w:rPr>
          <w:szCs w:val="24"/>
          <w:lang w:val="en-GB"/>
        </w:rPr>
        <w:t>If so, how often should the</w:t>
      </w:r>
      <w:r w:rsidR="00AA7D51">
        <w:rPr>
          <w:szCs w:val="24"/>
          <w:lang w:val="en-GB"/>
        </w:rPr>
        <w:t>se</w:t>
      </w:r>
      <w:r>
        <w:rPr>
          <w:szCs w:val="24"/>
          <w:lang w:val="en-GB"/>
        </w:rPr>
        <w:t xml:space="preserve"> priorities </w:t>
      </w:r>
      <w:r w:rsidR="00AA7D51">
        <w:rPr>
          <w:szCs w:val="24"/>
          <w:lang w:val="en-GB"/>
        </w:rPr>
        <w:t>be fixed and which procedure for updates would be most re</w:t>
      </w:r>
      <w:r w:rsidR="00AA7D51">
        <w:rPr>
          <w:szCs w:val="24"/>
          <w:lang w:val="en-GB"/>
        </w:rPr>
        <w:t>a</w:t>
      </w:r>
      <w:r w:rsidR="00AA7D51">
        <w:rPr>
          <w:szCs w:val="24"/>
          <w:lang w:val="en-GB"/>
        </w:rPr>
        <w:t>sonable for the Policy Area</w:t>
      </w:r>
      <w:r>
        <w:rPr>
          <w:szCs w:val="24"/>
          <w:lang w:val="en-GB"/>
        </w:rPr>
        <w:t>?</w:t>
      </w:r>
      <w:r w:rsidR="00AA7D51">
        <w:rPr>
          <w:szCs w:val="24"/>
          <w:lang w:val="en-GB"/>
        </w:rPr>
        <w:t xml:space="preserve"> What role </w:t>
      </w:r>
      <w:r w:rsidR="00A82615">
        <w:rPr>
          <w:szCs w:val="24"/>
          <w:lang w:val="en-GB"/>
        </w:rPr>
        <w:t>should</w:t>
      </w:r>
      <w:r w:rsidR="00AA7D51">
        <w:rPr>
          <w:szCs w:val="24"/>
          <w:lang w:val="en-GB"/>
        </w:rPr>
        <w:t xml:space="preserve"> the international Steering Committee</w:t>
      </w:r>
      <w:r w:rsidR="00A82615">
        <w:rPr>
          <w:szCs w:val="24"/>
          <w:lang w:val="en-GB"/>
        </w:rPr>
        <w:t xml:space="preserve"> play</w:t>
      </w:r>
      <w:r w:rsidR="00AA7D51">
        <w:rPr>
          <w:szCs w:val="24"/>
          <w:lang w:val="en-GB"/>
        </w:rPr>
        <w:t xml:space="preserve"> in </w:t>
      </w:r>
      <w:r w:rsidR="00A82615">
        <w:rPr>
          <w:szCs w:val="24"/>
          <w:lang w:val="en-GB"/>
        </w:rPr>
        <w:t>identif</w:t>
      </w:r>
      <w:r w:rsidR="00A82615">
        <w:rPr>
          <w:szCs w:val="24"/>
          <w:lang w:val="en-GB"/>
        </w:rPr>
        <w:t>y</w:t>
      </w:r>
      <w:r w:rsidR="00A82615">
        <w:rPr>
          <w:szCs w:val="24"/>
          <w:lang w:val="en-GB"/>
        </w:rPr>
        <w:t>ing these priorities and convening them to the national and EU policy levels?</w:t>
      </w:r>
    </w:p>
    <w:p w:rsidR="00E00FAC" w:rsidRDefault="00E00FAC" w:rsidP="007C15A8">
      <w:pPr>
        <w:pStyle w:val="Brdtekst"/>
        <w:rPr>
          <w:szCs w:val="24"/>
          <w:lang w:val="en-GB"/>
        </w:rPr>
      </w:pPr>
    </w:p>
    <w:p w:rsidR="0008756F" w:rsidRPr="00E00FAC" w:rsidRDefault="00E00FAC" w:rsidP="007C15A8">
      <w:pPr>
        <w:pStyle w:val="Brdtekst"/>
        <w:rPr>
          <w:b/>
          <w:szCs w:val="24"/>
          <w:lang w:val="en-GB"/>
        </w:rPr>
      </w:pPr>
      <w:r w:rsidRPr="00E00FAC">
        <w:rPr>
          <w:b/>
          <w:szCs w:val="24"/>
          <w:lang w:val="en-GB"/>
        </w:rPr>
        <w:t>Endorsement of projects</w:t>
      </w:r>
      <w:r w:rsidR="00DC2070">
        <w:rPr>
          <w:b/>
          <w:szCs w:val="24"/>
          <w:lang w:val="en-GB"/>
        </w:rPr>
        <w:t xml:space="preserve"> (i.e. which clean shipping projects the Policy Area can support)</w:t>
      </w:r>
    </w:p>
    <w:p w:rsidR="0008756F" w:rsidRDefault="0008756F" w:rsidP="007C15A8">
      <w:pPr>
        <w:pStyle w:val="Brdtekst"/>
        <w:rPr>
          <w:szCs w:val="24"/>
          <w:lang w:val="en-GB"/>
        </w:rPr>
      </w:pPr>
    </w:p>
    <w:p w:rsidR="0008756F" w:rsidRDefault="00E00FAC" w:rsidP="007C15A8">
      <w:pPr>
        <w:pStyle w:val="Brdtekst"/>
        <w:rPr>
          <w:szCs w:val="24"/>
          <w:lang w:val="en-GB"/>
        </w:rPr>
      </w:pPr>
      <w:r>
        <w:rPr>
          <w:szCs w:val="24"/>
          <w:lang w:val="en-GB"/>
        </w:rPr>
        <w:t>So far, PA Ship has somewhat differentiated between projects which had already presented the</w:t>
      </w:r>
      <w:r>
        <w:rPr>
          <w:szCs w:val="24"/>
          <w:lang w:val="en-GB"/>
        </w:rPr>
        <w:t>m</w:t>
      </w:r>
      <w:r>
        <w:rPr>
          <w:szCs w:val="24"/>
          <w:lang w:val="en-GB"/>
        </w:rPr>
        <w:t>selves in the Steering Committee or which were follow-up initiati</w:t>
      </w:r>
      <w:r w:rsidR="00EA7144">
        <w:rPr>
          <w:szCs w:val="24"/>
          <w:lang w:val="en-GB"/>
        </w:rPr>
        <w:t>ves to already ongoing Flagship</w:t>
      </w:r>
      <w:r>
        <w:rPr>
          <w:szCs w:val="24"/>
          <w:lang w:val="en-GB"/>
        </w:rPr>
        <w:t xml:space="preserve"> or Seed</w:t>
      </w:r>
      <w:r w:rsidR="00A70EEB">
        <w:rPr>
          <w:szCs w:val="24"/>
          <w:lang w:val="en-GB"/>
        </w:rPr>
        <w:t>-</w:t>
      </w:r>
      <w:r>
        <w:rPr>
          <w:szCs w:val="24"/>
          <w:lang w:val="en-GB"/>
        </w:rPr>
        <w:t xml:space="preserve">money </w:t>
      </w:r>
      <w:r w:rsidR="00DC2070">
        <w:rPr>
          <w:szCs w:val="24"/>
          <w:lang w:val="en-GB"/>
        </w:rPr>
        <w:t>P</w:t>
      </w:r>
      <w:r>
        <w:rPr>
          <w:szCs w:val="24"/>
          <w:lang w:val="en-GB"/>
        </w:rPr>
        <w:t>rojects and where we knew the lead applicants as skilled project</w:t>
      </w:r>
      <w:r w:rsidR="00DC2070">
        <w:rPr>
          <w:szCs w:val="24"/>
          <w:lang w:val="en-GB"/>
        </w:rPr>
        <w:t>-</w:t>
      </w:r>
      <w:r>
        <w:rPr>
          <w:szCs w:val="24"/>
          <w:lang w:val="en-GB"/>
        </w:rPr>
        <w:t>makers. Ha</w:t>
      </w:r>
      <w:r w:rsidR="00EB5D0D">
        <w:rPr>
          <w:szCs w:val="24"/>
          <w:lang w:val="en-GB"/>
        </w:rPr>
        <w:t>ving said this, PA Ship has also had an inclusive approach to project turning to the PACs with a request for a letter of support. This approach was chosen in order to increase the likeliness that clean shipping pr</w:t>
      </w:r>
      <w:r w:rsidR="00EB5D0D">
        <w:rPr>
          <w:szCs w:val="24"/>
          <w:lang w:val="en-GB"/>
        </w:rPr>
        <w:t>o</w:t>
      </w:r>
      <w:r w:rsidR="00EB5D0D">
        <w:rPr>
          <w:szCs w:val="24"/>
          <w:lang w:val="en-GB"/>
        </w:rPr>
        <w:t>jects “got its share” of the EU funding and to obtain a pool of good projects, which could help achie</w:t>
      </w:r>
      <w:r w:rsidR="00EB5D0D">
        <w:rPr>
          <w:szCs w:val="24"/>
          <w:lang w:val="en-GB"/>
        </w:rPr>
        <w:t>v</w:t>
      </w:r>
      <w:r w:rsidR="00EB5D0D">
        <w:rPr>
          <w:szCs w:val="24"/>
          <w:lang w:val="en-GB"/>
        </w:rPr>
        <w:t>ing the policy area´s ambition of “the Baltic Sea becoming a pilot-region for clean shipping”.</w:t>
      </w:r>
    </w:p>
    <w:p w:rsidR="00EB5D0D" w:rsidRDefault="00EB5D0D" w:rsidP="007C15A8">
      <w:pPr>
        <w:pStyle w:val="Brdtekst"/>
        <w:rPr>
          <w:szCs w:val="24"/>
          <w:lang w:val="en-GB"/>
        </w:rPr>
      </w:pPr>
    </w:p>
    <w:p w:rsidR="00EB5D0D" w:rsidRDefault="00EB5D0D" w:rsidP="007C15A8">
      <w:pPr>
        <w:pStyle w:val="Brdtekst"/>
        <w:rPr>
          <w:szCs w:val="24"/>
          <w:lang w:val="en-GB"/>
        </w:rPr>
      </w:pPr>
      <w:r>
        <w:rPr>
          <w:szCs w:val="24"/>
          <w:lang w:val="en-GB"/>
        </w:rPr>
        <w:t xml:space="preserve">There </w:t>
      </w:r>
      <w:r w:rsidR="00DC2070">
        <w:rPr>
          <w:szCs w:val="24"/>
          <w:lang w:val="en-GB"/>
        </w:rPr>
        <w:t>seems to be</w:t>
      </w:r>
      <w:r>
        <w:rPr>
          <w:szCs w:val="24"/>
          <w:lang w:val="en-GB"/>
        </w:rPr>
        <w:t xml:space="preserve"> a need for an agreed procedure, in particular in connection with calls of the Baltic Sea Region Programme, where a project´s affiliation to the EUSBSR can actually be decisive </w:t>
      </w:r>
      <w:r w:rsidR="00395951">
        <w:rPr>
          <w:szCs w:val="24"/>
          <w:lang w:val="en-GB"/>
        </w:rPr>
        <w:t xml:space="preserve">for </w:t>
      </w:r>
      <w:r>
        <w:rPr>
          <w:szCs w:val="24"/>
          <w:lang w:val="en-GB"/>
        </w:rPr>
        <w:t>whether a project receives funding</w:t>
      </w:r>
      <w:r w:rsidR="00395951">
        <w:rPr>
          <w:szCs w:val="24"/>
          <w:lang w:val="en-GB"/>
        </w:rPr>
        <w:t xml:space="preserve"> or not</w:t>
      </w:r>
      <w:r>
        <w:rPr>
          <w:szCs w:val="24"/>
          <w:lang w:val="en-GB"/>
        </w:rPr>
        <w:t>.</w:t>
      </w:r>
      <w:r w:rsidR="00395951">
        <w:rPr>
          <w:szCs w:val="24"/>
          <w:lang w:val="en-GB"/>
        </w:rPr>
        <w:t xml:space="preserve"> The lessons learned from the programme´s 1</w:t>
      </w:r>
      <w:r w:rsidR="00395951" w:rsidRPr="00395951">
        <w:rPr>
          <w:szCs w:val="24"/>
          <w:vertAlign w:val="superscript"/>
          <w:lang w:val="en-GB"/>
        </w:rPr>
        <w:t>st</w:t>
      </w:r>
      <w:r w:rsidR="00395951">
        <w:rPr>
          <w:szCs w:val="24"/>
          <w:lang w:val="en-GB"/>
        </w:rPr>
        <w:t xml:space="preserve"> call revealed a need for a more uniform procedure, preferably coordinated with the programme´s secretariat.</w:t>
      </w:r>
      <w:r w:rsidR="00DC2070">
        <w:rPr>
          <w:szCs w:val="24"/>
          <w:lang w:val="en-GB"/>
        </w:rPr>
        <w:t xml:space="preserve"> Thus, we should e.g. aim at a single, joint deadline for projects to submit their project applications. </w:t>
      </w:r>
      <w:r w:rsidR="00395951">
        <w:rPr>
          <w:szCs w:val="24"/>
          <w:lang w:val="en-GB"/>
        </w:rPr>
        <w:t xml:space="preserve"> </w:t>
      </w:r>
      <w:r>
        <w:rPr>
          <w:szCs w:val="24"/>
          <w:lang w:val="en-GB"/>
        </w:rPr>
        <w:t xml:space="preserve"> </w:t>
      </w:r>
    </w:p>
    <w:p w:rsidR="00EB5D0D" w:rsidRDefault="00EB5D0D" w:rsidP="007C15A8">
      <w:pPr>
        <w:pStyle w:val="Brdtekst"/>
        <w:rPr>
          <w:szCs w:val="24"/>
          <w:lang w:val="en-GB"/>
        </w:rPr>
      </w:pPr>
    </w:p>
    <w:p w:rsidR="00CF1373" w:rsidRDefault="00EB5D0D" w:rsidP="007C15A8">
      <w:pPr>
        <w:pStyle w:val="Brdtekst"/>
        <w:rPr>
          <w:szCs w:val="24"/>
          <w:lang w:val="en-GB"/>
        </w:rPr>
      </w:pPr>
      <w:r>
        <w:rPr>
          <w:szCs w:val="24"/>
          <w:lang w:val="en-GB"/>
        </w:rPr>
        <w:t xml:space="preserve">Is time ripe for a more selective assessment of projects? Should we hence forward be more restrictive with projects which are not already clearly foreseen in the Action Plan? </w:t>
      </w:r>
      <w:r w:rsidR="00395951">
        <w:rPr>
          <w:szCs w:val="24"/>
          <w:lang w:val="en-GB"/>
        </w:rPr>
        <w:t>Or is it actually</w:t>
      </w:r>
      <w:r w:rsidR="00EA7144">
        <w:rPr>
          <w:szCs w:val="24"/>
          <w:lang w:val="en-GB"/>
        </w:rPr>
        <w:t xml:space="preserve"> </w:t>
      </w:r>
      <w:proofErr w:type="gramStart"/>
      <w:r w:rsidR="00EA7144">
        <w:rPr>
          <w:szCs w:val="24"/>
          <w:lang w:val="en-GB"/>
        </w:rPr>
        <w:t>a</w:t>
      </w:r>
      <w:r w:rsidR="00395951">
        <w:rPr>
          <w:szCs w:val="24"/>
          <w:lang w:val="en-GB"/>
        </w:rPr>
        <w:t xml:space="preserve"> </w:t>
      </w:r>
      <w:r w:rsidR="00DC2070">
        <w:rPr>
          <w:szCs w:val="24"/>
          <w:lang w:val="en-GB"/>
        </w:rPr>
        <w:t>strength</w:t>
      </w:r>
      <w:proofErr w:type="gramEnd"/>
      <w:r w:rsidR="00395951">
        <w:rPr>
          <w:szCs w:val="24"/>
          <w:lang w:val="en-GB"/>
        </w:rPr>
        <w:t xml:space="preserve"> </w:t>
      </w:r>
      <w:r w:rsidR="00DC2070">
        <w:rPr>
          <w:szCs w:val="24"/>
          <w:lang w:val="en-GB"/>
        </w:rPr>
        <w:t>of the Policy Area</w:t>
      </w:r>
      <w:r w:rsidR="00395951">
        <w:rPr>
          <w:szCs w:val="24"/>
          <w:lang w:val="en-GB"/>
        </w:rPr>
        <w:t xml:space="preserve"> that projects addressing emerging needs </w:t>
      </w:r>
      <w:r w:rsidR="00DC2070">
        <w:rPr>
          <w:szCs w:val="24"/>
          <w:lang w:val="en-GB"/>
        </w:rPr>
        <w:t xml:space="preserve">in the field of clean shipping </w:t>
      </w:r>
      <w:r w:rsidR="00395951">
        <w:rPr>
          <w:szCs w:val="24"/>
          <w:lang w:val="en-GB"/>
        </w:rPr>
        <w:t xml:space="preserve">can be included and supported along the way? </w:t>
      </w:r>
    </w:p>
    <w:p w:rsidR="00CF1373" w:rsidRDefault="00CF1373" w:rsidP="007C15A8">
      <w:pPr>
        <w:pStyle w:val="Brdtekst"/>
        <w:rPr>
          <w:szCs w:val="24"/>
          <w:lang w:val="en-GB"/>
        </w:rPr>
      </w:pPr>
    </w:p>
    <w:p w:rsidR="00395951" w:rsidRDefault="00395951" w:rsidP="007C15A8">
      <w:pPr>
        <w:pStyle w:val="Brdtekst"/>
        <w:rPr>
          <w:szCs w:val="24"/>
          <w:lang w:val="en-GB"/>
        </w:rPr>
      </w:pPr>
      <w:r>
        <w:rPr>
          <w:szCs w:val="24"/>
          <w:lang w:val="en-GB"/>
        </w:rPr>
        <w:t>Should the Policy Area only issue letters of endorsement/</w:t>
      </w:r>
      <w:r w:rsidR="00DC2070">
        <w:rPr>
          <w:szCs w:val="24"/>
          <w:lang w:val="en-GB"/>
        </w:rPr>
        <w:t>support to projects which</w:t>
      </w:r>
      <w:r>
        <w:rPr>
          <w:szCs w:val="24"/>
          <w:lang w:val="en-GB"/>
        </w:rPr>
        <w:t xml:space="preserve"> already enjoy Flagship Project </w:t>
      </w:r>
      <w:r w:rsidR="00DC2070">
        <w:rPr>
          <w:szCs w:val="24"/>
          <w:lang w:val="en-GB"/>
        </w:rPr>
        <w:t xml:space="preserve">status or are in the process of obtaining such status, </w:t>
      </w:r>
      <w:r>
        <w:rPr>
          <w:szCs w:val="24"/>
          <w:lang w:val="en-GB"/>
        </w:rPr>
        <w:t>or also other projects, which d</w:t>
      </w:r>
      <w:r>
        <w:rPr>
          <w:szCs w:val="24"/>
          <w:lang w:val="en-GB"/>
        </w:rPr>
        <w:t>i</w:t>
      </w:r>
      <w:r>
        <w:rPr>
          <w:szCs w:val="24"/>
          <w:lang w:val="en-GB"/>
        </w:rPr>
        <w:t xml:space="preserve">rectly or indirectly support </w:t>
      </w:r>
      <w:r w:rsidR="00DC2070">
        <w:rPr>
          <w:szCs w:val="24"/>
          <w:lang w:val="en-GB"/>
        </w:rPr>
        <w:t>the policy area´s objectives</w:t>
      </w:r>
      <w:r>
        <w:rPr>
          <w:szCs w:val="24"/>
          <w:lang w:val="en-GB"/>
        </w:rPr>
        <w:t xml:space="preserve">? </w:t>
      </w:r>
      <w:r w:rsidR="00DC2070">
        <w:rPr>
          <w:szCs w:val="24"/>
          <w:lang w:val="en-GB"/>
        </w:rPr>
        <w:t>If so, sho</w:t>
      </w:r>
      <w:r w:rsidR="00EA7144">
        <w:rPr>
          <w:szCs w:val="24"/>
          <w:lang w:val="en-GB"/>
        </w:rPr>
        <w:t>uld w</w:t>
      </w:r>
      <w:r w:rsidR="00DC2070">
        <w:rPr>
          <w:szCs w:val="24"/>
          <w:lang w:val="en-GB"/>
        </w:rPr>
        <w:t>e differentiate our appraisal of the projects according to their affiliation to the strategy?</w:t>
      </w:r>
    </w:p>
    <w:p w:rsidR="00A82615" w:rsidRDefault="00A82615" w:rsidP="007C15A8">
      <w:pPr>
        <w:pStyle w:val="Brdtekst"/>
        <w:rPr>
          <w:szCs w:val="24"/>
          <w:lang w:val="en-GB"/>
        </w:rPr>
      </w:pPr>
    </w:p>
    <w:p w:rsidR="00EC77C8" w:rsidRDefault="00A82615" w:rsidP="007C15A8">
      <w:pPr>
        <w:pStyle w:val="Brdtekst"/>
        <w:rPr>
          <w:szCs w:val="24"/>
          <w:lang w:val="en-GB"/>
        </w:rPr>
      </w:pPr>
      <w:r>
        <w:rPr>
          <w:szCs w:val="24"/>
          <w:lang w:val="en-GB"/>
        </w:rPr>
        <w:t>What is the role of the international Steering Committee in this process? If the Policy Area Coordin</w:t>
      </w:r>
      <w:r>
        <w:rPr>
          <w:szCs w:val="24"/>
          <w:lang w:val="en-GB"/>
        </w:rPr>
        <w:t>a</w:t>
      </w:r>
      <w:r>
        <w:rPr>
          <w:szCs w:val="24"/>
          <w:lang w:val="en-GB"/>
        </w:rPr>
        <w:t>tor is increasingly being asked to assess/endorse projects, does the Steering Committee wish to be i</w:t>
      </w:r>
      <w:r>
        <w:rPr>
          <w:szCs w:val="24"/>
          <w:lang w:val="en-GB"/>
        </w:rPr>
        <w:t>n</w:t>
      </w:r>
      <w:r>
        <w:rPr>
          <w:szCs w:val="24"/>
          <w:lang w:val="en-GB"/>
        </w:rPr>
        <w:t xml:space="preserve">cluded in the </w:t>
      </w:r>
      <w:r w:rsidR="00EC77C8">
        <w:rPr>
          <w:szCs w:val="24"/>
          <w:lang w:val="en-GB"/>
        </w:rPr>
        <w:t>assessment process as has been the case so far or would another method be more appr</w:t>
      </w:r>
      <w:r w:rsidR="00EC77C8">
        <w:rPr>
          <w:szCs w:val="24"/>
          <w:lang w:val="en-GB"/>
        </w:rPr>
        <w:t>o</w:t>
      </w:r>
      <w:r w:rsidR="00EC77C8">
        <w:rPr>
          <w:szCs w:val="24"/>
          <w:lang w:val="en-GB"/>
        </w:rPr>
        <w:t xml:space="preserve">priate? </w:t>
      </w:r>
    </w:p>
    <w:p w:rsidR="00395951" w:rsidRDefault="00395951" w:rsidP="007C15A8">
      <w:pPr>
        <w:pStyle w:val="Brdtekst"/>
        <w:rPr>
          <w:szCs w:val="24"/>
          <w:lang w:val="en-GB"/>
        </w:rPr>
      </w:pPr>
    </w:p>
    <w:p w:rsidR="002D6A37" w:rsidRPr="00EC77C8" w:rsidRDefault="00395951" w:rsidP="00014CD2">
      <w:pPr>
        <w:pStyle w:val="Brdtekst"/>
        <w:rPr>
          <w:szCs w:val="24"/>
          <w:lang w:val="en-GB"/>
        </w:rPr>
      </w:pPr>
      <w:r>
        <w:rPr>
          <w:szCs w:val="24"/>
          <w:lang w:val="en-GB"/>
        </w:rPr>
        <w:t>We are looking forward for your reflections, input and advice and hope for a constructive discussion.</w:t>
      </w:r>
    </w:p>
    <w:sectPr w:rsidR="002D6A37" w:rsidRPr="00EC77C8" w:rsidSect="00395951">
      <w:headerReference w:type="even" r:id="rId10"/>
      <w:headerReference w:type="default" r:id="rId11"/>
      <w:pgSz w:w="11906" w:h="16838" w:code="9"/>
      <w:pgMar w:top="1134" w:right="964" w:bottom="794" w:left="1134" w:header="0"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346" w:rsidRDefault="00EC3346">
      <w:r>
        <w:separator/>
      </w:r>
    </w:p>
  </w:endnote>
  <w:endnote w:type="continuationSeparator" w:id="0">
    <w:p w:rsidR="00EC3346" w:rsidRDefault="00EC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346" w:rsidRDefault="00EC3346">
      <w:r>
        <w:separator/>
      </w:r>
    </w:p>
  </w:footnote>
  <w:footnote w:type="continuationSeparator" w:id="0">
    <w:p w:rsidR="00EC3346" w:rsidRDefault="00EC3346">
      <w:r>
        <w:continuationSeparator/>
      </w:r>
    </w:p>
  </w:footnote>
  <w:footnote w:id="1">
    <w:p w:rsidR="000D4CE0" w:rsidRPr="000D4CE0" w:rsidRDefault="000D4CE0" w:rsidP="000D4CE0">
      <w:pPr>
        <w:pStyle w:val="Default"/>
        <w:rPr>
          <w:rFonts w:ascii="Times New Roman" w:hAnsi="Times New Roman" w:cs="Times New Roman"/>
          <w:sz w:val="18"/>
          <w:szCs w:val="18"/>
          <w:lang w:val="en-US"/>
        </w:rPr>
      </w:pPr>
      <w:r>
        <w:rPr>
          <w:rStyle w:val="Fodnotehenvisning"/>
        </w:rPr>
        <w:footnoteRef/>
      </w:r>
      <w:r w:rsidRPr="000D4CE0">
        <w:rPr>
          <w:lang w:val="en-US"/>
        </w:rPr>
        <w:t xml:space="preserve"> </w:t>
      </w:r>
      <w:r w:rsidRPr="000D4CE0">
        <w:rPr>
          <w:rFonts w:ascii="Times New Roman" w:hAnsi="Times New Roman" w:cs="Times New Roman"/>
          <w:sz w:val="18"/>
          <w:szCs w:val="18"/>
          <w:lang w:val="en-US"/>
        </w:rPr>
        <w:t xml:space="preserve">P. 9, </w:t>
      </w:r>
      <w:r w:rsidRPr="000D4CE0">
        <w:rPr>
          <w:rFonts w:ascii="Times New Roman" w:hAnsi="Times New Roman" w:cs="Times New Roman"/>
          <w:bCs/>
          <w:color w:val="221E1F"/>
          <w:sz w:val="18"/>
          <w:szCs w:val="18"/>
          <w:lang w:val="en-US"/>
        </w:rPr>
        <w:t>Roles and responsibilities of the implementing stakeholders of the EUSBSR</w:t>
      </w:r>
      <w:r>
        <w:rPr>
          <w:rFonts w:ascii="Times New Roman" w:hAnsi="Times New Roman" w:cs="Times New Roman"/>
          <w:bCs/>
          <w:color w:val="221E1F"/>
          <w:sz w:val="18"/>
          <w:szCs w:val="18"/>
          <w:lang w:val="en-US"/>
        </w:rPr>
        <w:t xml:space="preserve"> </w:t>
      </w:r>
      <w:r w:rsidRPr="000D4CE0">
        <w:rPr>
          <w:rFonts w:ascii="Times New Roman" w:hAnsi="Times New Roman" w:cs="Times New Roman"/>
          <w:bCs/>
          <w:color w:val="221E1F"/>
          <w:sz w:val="18"/>
          <w:szCs w:val="18"/>
          <w:lang w:val="en-US"/>
        </w:rPr>
        <w:t xml:space="preserve">and a flagship project concept, January 2013.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84F" w:rsidRDefault="00AD3E40">
    <w:pPr>
      <w:pStyle w:val="Sidehoved"/>
      <w:framePr w:wrap="around" w:vAnchor="text" w:hAnchor="margin" w:xAlign="right" w:y="1"/>
      <w:rPr>
        <w:rStyle w:val="Sidetal"/>
      </w:rPr>
    </w:pPr>
    <w:r>
      <w:rPr>
        <w:rStyle w:val="Sidetal"/>
      </w:rPr>
      <w:fldChar w:fldCharType="begin"/>
    </w:r>
    <w:r w:rsidR="003F784F">
      <w:rPr>
        <w:rStyle w:val="Sidetal"/>
      </w:rPr>
      <w:instrText xml:space="preserve">PAGE  </w:instrText>
    </w:r>
    <w:r>
      <w:rPr>
        <w:rStyle w:val="Sidetal"/>
      </w:rPr>
      <w:fldChar w:fldCharType="end"/>
    </w:r>
  </w:p>
  <w:p w:rsidR="003F784F" w:rsidRDefault="003F784F">
    <w:pPr>
      <w:pStyle w:val="Sidehove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3B4" w:rsidRDefault="003763B4">
    <w:pPr>
      <w:pStyle w:val="Sidehoved"/>
    </w:pPr>
  </w:p>
  <w:p w:rsidR="003F784F" w:rsidRDefault="003F784F">
    <w:pPr>
      <w:pStyle w:val="Sidehoved"/>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6BDF"/>
    <w:multiLevelType w:val="hybridMultilevel"/>
    <w:tmpl w:val="8376C3F2"/>
    <w:lvl w:ilvl="0" w:tplc="9766D1CC">
      <w:start w:val="1"/>
      <w:numFmt w:val="decimal"/>
      <w:lvlText w:val="%1)"/>
      <w:lvlJc w:val="left"/>
      <w:pPr>
        <w:ind w:left="720" w:hanging="360"/>
      </w:pPr>
      <w:rPr>
        <w:rFonts w:hint="default"/>
        <w:b/>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6576EC2"/>
    <w:multiLevelType w:val="hybridMultilevel"/>
    <w:tmpl w:val="B8AC3438"/>
    <w:lvl w:ilvl="0" w:tplc="04060017">
      <w:start w:val="1"/>
      <w:numFmt w:val="lowerLetter"/>
      <w:lvlText w:val="%1)"/>
      <w:lvlJc w:val="left"/>
      <w:pPr>
        <w:ind w:left="1664" w:hanging="360"/>
      </w:pPr>
    </w:lvl>
    <w:lvl w:ilvl="1" w:tplc="04060019" w:tentative="1">
      <w:start w:val="1"/>
      <w:numFmt w:val="lowerLetter"/>
      <w:lvlText w:val="%2."/>
      <w:lvlJc w:val="left"/>
      <w:pPr>
        <w:ind w:left="2384" w:hanging="360"/>
      </w:pPr>
    </w:lvl>
    <w:lvl w:ilvl="2" w:tplc="0406001B" w:tentative="1">
      <w:start w:val="1"/>
      <w:numFmt w:val="lowerRoman"/>
      <w:lvlText w:val="%3."/>
      <w:lvlJc w:val="right"/>
      <w:pPr>
        <w:ind w:left="3104" w:hanging="180"/>
      </w:pPr>
    </w:lvl>
    <w:lvl w:ilvl="3" w:tplc="0406000F" w:tentative="1">
      <w:start w:val="1"/>
      <w:numFmt w:val="decimal"/>
      <w:lvlText w:val="%4."/>
      <w:lvlJc w:val="left"/>
      <w:pPr>
        <w:ind w:left="3824" w:hanging="360"/>
      </w:pPr>
    </w:lvl>
    <w:lvl w:ilvl="4" w:tplc="04060019" w:tentative="1">
      <w:start w:val="1"/>
      <w:numFmt w:val="lowerLetter"/>
      <w:lvlText w:val="%5."/>
      <w:lvlJc w:val="left"/>
      <w:pPr>
        <w:ind w:left="4544" w:hanging="360"/>
      </w:pPr>
    </w:lvl>
    <w:lvl w:ilvl="5" w:tplc="0406001B" w:tentative="1">
      <w:start w:val="1"/>
      <w:numFmt w:val="lowerRoman"/>
      <w:lvlText w:val="%6."/>
      <w:lvlJc w:val="right"/>
      <w:pPr>
        <w:ind w:left="5264" w:hanging="180"/>
      </w:pPr>
    </w:lvl>
    <w:lvl w:ilvl="6" w:tplc="0406000F" w:tentative="1">
      <w:start w:val="1"/>
      <w:numFmt w:val="decimal"/>
      <w:lvlText w:val="%7."/>
      <w:lvlJc w:val="left"/>
      <w:pPr>
        <w:ind w:left="5984" w:hanging="360"/>
      </w:pPr>
    </w:lvl>
    <w:lvl w:ilvl="7" w:tplc="04060019" w:tentative="1">
      <w:start w:val="1"/>
      <w:numFmt w:val="lowerLetter"/>
      <w:lvlText w:val="%8."/>
      <w:lvlJc w:val="left"/>
      <w:pPr>
        <w:ind w:left="6704" w:hanging="360"/>
      </w:pPr>
    </w:lvl>
    <w:lvl w:ilvl="8" w:tplc="0406001B" w:tentative="1">
      <w:start w:val="1"/>
      <w:numFmt w:val="lowerRoman"/>
      <w:lvlText w:val="%9."/>
      <w:lvlJc w:val="right"/>
      <w:pPr>
        <w:ind w:left="7424" w:hanging="180"/>
      </w:pPr>
    </w:lvl>
  </w:abstractNum>
  <w:abstractNum w:abstractNumId="2">
    <w:nsid w:val="1B483E16"/>
    <w:multiLevelType w:val="hybridMultilevel"/>
    <w:tmpl w:val="44FAB666"/>
    <w:lvl w:ilvl="0" w:tplc="57B88170">
      <w:start w:val="1"/>
      <w:numFmt w:val="lowerLetter"/>
      <w:lvlText w:val="%1)"/>
      <w:lvlJc w:val="left"/>
      <w:pPr>
        <w:ind w:left="720" w:hanging="360"/>
      </w:pPr>
      <w:rPr>
        <w:rFonts w:hint="default"/>
        <w:b/>
        <w:i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25846E62"/>
    <w:multiLevelType w:val="hybridMultilevel"/>
    <w:tmpl w:val="0BAE8430"/>
    <w:lvl w:ilvl="0" w:tplc="54D614CA">
      <w:start w:val="1"/>
      <w:numFmt w:val="lowerLetter"/>
      <w:lvlText w:val="%1)"/>
      <w:lvlJc w:val="left"/>
      <w:pPr>
        <w:ind w:left="1211" w:hanging="360"/>
      </w:pPr>
      <w:rPr>
        <w:rFonts w:hint="default"/>
      </w:rPr>
    </w:lvl>
    <w:lvl w:ilvl="1" w:tplc="04060019" w:tentative="1">
      <w:start w:val="1"/>
      <w:numFmt w:val="lowerLetter"/>
      <w:lvlText w:val="%2."/>
      <w:lvlJc w:val="left"/>
      <w:pPr>
        <w:ind w:left="1931" w:hanging="360"/>
      </w:pPr>
    </w:lvl>
    <w:lvl w:ilvl="2" w:tplc="0406001B" w:tentative="1">
      <w:start w:val="1"/>
      <w:numFmt w:val="lowerRoman"/>
      <w:lvlText w:val="%3."/>
      <w:lvlJc w:val="right"/>
      <w:pPr>
        <w:ind w:left="2651" w:hanging="180"/>
      </w:pPr>
    </w:lvl>
    <w:lvl w:ilvl="3" w:tplc="0406000F" w:tentative="1">
      <w:start w:val="1"/>
      <w:numFmt w:val="decimal"/>
      <w:lvlText w:val="%4."/>
      <w:lvlJc w:val="left"/>
      <w:pPr>
        <w:ind w:left="3371" w:hanging="360"/>
      </w:pPr>
    </w:lvl>
    <w:lvl w:ilvl="4" w:tplc="04060019" w:tentative="1">
      <w:start w:val="1"/>
      <w:numFmt w:val="lowerLetter"/>
      <w:lvlText w:val="%5."/>
      <w:lvlJc w:val="left"/>
      <w:pPr>
        <w:ind w:left="4091" w:hanging="360"/>
      </w:pPr>
    </w:lvl>
    <w:lvl w:ilvl="5" w:tplc="0406001B" w:tentative="1">
      <w:start w:val="1"/>
      <w:numFmt w:val="lowerRoman"/>
      <w:lvlText w:val="%6."/>
      <w:lvlJc w:val="right"/>
      <w:pPr>
        <w:ind w:left="4811" w:hanging="180"/>
      </w:pPr>
    </w:lvl>
    <w:lvl w:ilvl="6" w:tplc="0406000F" w:tentative="1">
      <w:start w:val="1"/>
      <w:numFmt w:val="decimal"/>
      <w:lvlText w:val="%7."/>
      <w:lvlJc w:val="left"/>
      <w:pPr>
        <w:ind w:left="5531" w:hanging="360"/>
      </w:pPr>
    </w:lvl>
    <w:lvl w:ilvl="7" w:tplc="04060019" w:tentative="1">
      <w:start w:val="1"/>
      <w:numFmt w:val="lowerLetter"/>
      <w:lvlText w:val="%8."/>
      <w:lvlJc w:val="left"/>
      <w:pPr>
        <w:ind w:left="6251" w:hanging="360"/>
      </w:pPr>
    </w:lvl>
    <w:lvl w:ilvl="8" w:tplc="0406001B" w:tentative="1">
      <w:start w:val="1"/>
      <w:numFmt w:val="lowerRoman"/>
      <w:lvlText w:val="%9."/>
      <w:lvlJc w:val="right"/>
      <w:pPr>
        <w:ind w:left="6971" w:hanging="180"/>
      </w:pPr>
    </w:lvl>
  </w:abstractNum>
  <w:abstractNum w:abstractNumId="4">
    <w:nsid w:val="37561ED8"/>
    <w:multiLevelType w:val="hybridMultilevel"/>
    <w:tmpl w:val="8376C3F2"/>
    <w:lvl w:ilvl="0" w:tplc="9766D1CC">
      <w:start w:val="1"/>
      <w:numFmt w:val="decimal"/>
      <w:lvlText w:val="%1)"/>
      <w:lvlJc w:val="left"/>
      <w:pPr>
        <w:ind w:left="720" w:hanging="360"/>
      </w:pPr>
      <w:rPr>
        <w:rFonts w:hint="default"/>
        <w:b/>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4D8E14AF"/>
    <w:multiLevelType w:val="hybridMultilevel"/>
    <w:tmpl w:val="5C22F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557A6252"/>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7">
    <w:nsid w:val="57842BAA"/>
    <w:multiLevelType w:val="singleLevel"/>
    <w:tmpl w:val="F70055E2"/>
    <w:lvl w:ilvl="0">
      <w:start w:val="1"/>
      <w:numFmt w:val="bullet"/>
      <w:lvlText w:val=""/>
      <w:lvlJc w:val="left"/>
      <w:pPr>
        <w:tabs>
          <w:tab w:val="num" w:pos="360"/>
        </w:tabs>
        <w:ind w:left="360" w:hanging="360"/>
      </w:pPr>
      <w:rPr>
        <w:rFonts w:ascii="Symbol" w:hAnsi="Symbol" w:hint="default"/>
      </w:rPr>
    </w:lvl>
  </w:abstractNum>
  <w:abstractNum w:abstractNumId="8">
    <w:nsid w:val="64E56DED"/>
    <w:multiLevelType w:val="hybridMultilevel"/>
    <w:tmpl w:val="FC2E3C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9">
    <w:nsid w:val="687944BD"/>
    <w:multiLevelType w:val="hybridMultilevel"/>
    <w:tmpl w:val="0C020DD6"/>
    <w:lvl w:ilvl="0" w:tplc="04060011">
      <w:start w:val="1"/>
      <w:numFmt w:val="decimal"/>
      <w:lvlText w:val="%1)"/>
      <w:lvlJc w:val="left"/>
      <w:pPr>
        <w:ind w:left="1080" w:hanging="360"/>
      </w:pPr>
      <w:rPr>
        <w:rFonts w:hint="default"/>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0">
    <w:nsid w:val="6C2400F5"/>
    <w:multiLevelType w:val="hybridMultilevel"/>
    <w:tmpl w:val="EBF478EA"/>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1">
    <w:nsid w:val="754F1DB3"/>
    <w:multiLevelType w:val="hybridMultilevel"/>
    <w:tmpl w:val="3700503E"/>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2">
    <w:nsid w:val="795E601F"/>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num w:numId="1">
    <w:abstractNumId w:val="7"/>
  </w:num>
  <w:num w:numId="2">
    <w:abstractNumId w:val="9"/>
  </w:num>
  <w:num w:numId="3">
    <w:abstractNumId w:val="8"/>
  </w:num>
  <w:num w:numId="4">
    <w:abstractNumId w:val="12"/>
  </w:num>
  <w:num w:numId="5">
    <w:abstractNumId w:val="1"/>
  </w:num>
  <w:num w:numId="6">
    <w:abstractNumId w:val="4"/>
  </w:num>
  <w:num w:numId="7">
    <w:abstractNumId w:val="11"/>
  </w:num>
  <w:num w:numId="8">
    <w:abstractNumId w:val="10"/>
  </w:num>
  <w:num w:numId="9">
    <w:abstractNumId w:val="0"/>
  </w:num>
  <w:num w:numId="10">
    <w:abstractNumId w:val="3"/>
  </w:num>
  <w:num w:numId="11">
    <w:abstractNumId w:val="2"/>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142"/>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DDB"/>
    <w:rsid w:val="00014CD2"/>
    <w:rsid w:val="00024A73"/>
    <w:rsid w:val="00050744"/>
    <w:rsid w:val="00052A50"/>
    <w:rsid w:val="00060CB6"/>
    <w:rsid w:val="00077828"/>
    <w:rsid w:val="0008602E"/>
    <w:rsid w:val="0008756F"/>
    <w:rsid w:val="000A167F"/>
    <w:rsid w:val="000D4CE0"/>
    <w:rsid w:val="000E592A"/>
    <w:rsid w:val="00106629"/>
    <w:rsid w:val="00127AF6"/>
    <w:rsid w:val="00133400"/>
    <w:rsid w:val="001C1354"/>
    <w:rsid w:val="001C404C"/>
    <w:rsid w:val="001D2B05"/>
    <w:rsid w:val="001F3FD8"/>
    <w:rsid w:val="0020398F"/>
    <w:rsid w:val="0022323D"/>
    <w:rsid w:val="0024342D"/>
    <w:rsid w:val="00244BA6"/>
    <w:rsid w:val="002462A4"/>
    <w:rsid w:val="00277DD0"/>
    <w:rsid w:val="00284697"/>
    <w:rsid w:val="002A05EF"/>
    <w:rsid w:val="002A0C17"/>
    <w:rsid w:val="002B264C"/>
    <w:rsid w:val="002B344F"/>
    <w:rsid w:val="002D40B0"/>
    <w:rsid w:val="002D6A37"/>
    <w:rsid w:val="00302426"/>
    <w:rsid w:val="00315DBB"/>
    <w:rsid w:val="003401FF"/>
    <w:rsid w:val="00350FEA"/>
    <w:rsid w:val="00355B31"/>
    <w:rsid w:val="00372F28"/>
    <w:rsid w:val="003763B4"/>
    <w:rsid w:val="00383E47"/>
    <w:rsid w:val="00395951"/>
    <w:rsid w:val="003A79B8"/>
    <w:rsid w:val="003B67F1"/>
    <w:rsid w:val="003E675A"/>
    <w:rsid w:val="003F784F"/>
    <w:rsid w:val="00403F10"/>
    <w:rsid w:val="0042275B"/>
    <w:rsid w:val="00423CB4"/>
    <w:rsid w:val="00440C3E"/>
    <w:rsid w:val="00453883"/>
    <w:rsid w:val="00462033"/>
    <w:rsid w:val="00462766"/>
    <w:rsid w:val="00466BA6"/>
    <w:rsid w:val="004B6A38"/>
    <w:rsid w:val="005051A0"/>
    <w:rsid w:val="00521C7B"/>
    <w:rsid w:val="00564E3C"/>
    <w:rsid w:val="00567A4B"/>
    <w:rsid w:val="00590956"/>
    <w:rsid w:val="005A3DA8"/>
    <w:rsid w:val="005B0576"/>
    <w:rsid w:val="005B2582"/>
    <w:rsid w:val="005B4781"/>
    <w:rsid w:val="005C257F"/>
    <w:rsid w:val="00613A56"/>
    <w:rsid w:val="006433F5"/>
    <w:rsid w:val="00647D2C"/>
    <w:rsid w:val="00681877"/>
    <w:rsid w:val="006C4157"/>
    <w:rsid w:val="0070539E"/>
    <w:rsid w:val="00731873"/>
    <w:rsid w:val="007372F4"/>
    <w:rsid w:val="007C15A8"/>
    <w:rsid w:val="007C474B"/>
    <w:rsid w:val="007C73B6"/>
    <w:rsid w:val="007D40E5"/>
    <w:rsid w:val="00800DDB"/>
    <w:rsid w:val="008153B5"/>
    <w:rsid w:val="0085074B"/>
    <w:rsid w:val="008804A9"/>
    <w:rsid w:val="008909EF"/>
    <w:rsid w:val="00892244"/>
    <w:rsid w:val="008B2D1E"/>
    <w:rsid w:val="008B7647"/>
    <w:rsid w:val="008D4769"/>
    <w:rsid w:val="008E06B9"/>
    <w:rsid w:val="008E6291"/>
    <w:rsid w:val="008F291F"/>
    <w:rsid w:val="008F4AD5"/>
    <w:rsid w:val="009006EC"/>
    <w:rsid w:val="00912D95"/>
    <w:rsid w:val="00927DB0"/>
    <w:rsid w:val="0094204C"/>
    <w:rsid w:val="009600AB"/>
    <w:rsid w:val="00965C8B"/>
    <w:rsid w:val="0097534D"/>
    <w:rsid w:val="00984D3F"/>
    <w:rsid w:val="009A09AD"/>
    <w:rsid w:val="009C761A"/>
    <w:rsid w:val="009F0313"/>
    <w:rsid w:val="009F22D9"/>
    <w:rsid w:val="00A241DB"/>
    <w:rsid w:val="00A2670D"/>
    <w:rsid w:val="00A37AD6"/>
    <w:rsid w:val="00A4513B"/>
    <w:rsid w:val="00A60520"/>
    <w:rsid w:val="00A70EEB"/>
    <w:rsid w:val="00A71CAE"/>
    <w:rsid w:val="00A82615"/>
    <w:rsid w:val="00A841C3"/>
    <w:rsid w:val="00AA412D"/>
    <w:rsid w:val="00AA7D51"/>
    <w:rsid w:val="00AB0C75"/>
    <w:rsid w:val="00AB3E53"/>
    <w:rsid w:val="00AB73B1"/>
    <w:rsid w:val="00AC40AD"/>
    <w:rsid w:val="00AD3E40"/>
    <w:rsid w:val="00AE4BDB"/>
    <w:rsid w:val="00B00B91"/>
    <w:rsid w:val="00B2241C"/>
    <w:rsid w:val="00B44A43"/>
    <w:rsid w:val="00B51436"/>
    <w:rsid w:val="00B634C0"/>
    <w:rsid w:val="00B935D2"/>
    <w:rsid w:val="00B946BB"/>
    <w:rsid w:val="00BA2D23"/>
    <w:rsid w:val="00BC7CC7"/>
    <w:rsid w:val="00BE21F7"/>
    <w:rsid w:val="00BF1F18"/>
    <w:rsid w:val="00C042B9"/>
    <w:rsid w:val="00C24CBC"/>
    <w:rsid w:val="00C55636"/>
    <w:rsid w:val="00C93A0C"/>
    <w:rsid w:val="00CD0112"/>
    <w:rsid w:val="00CE1BE3"/>
    <w:rsid w:val="00CE5A6E"/>
    <w:rsid w:val="00CF1373"/>
    <w:rsid w:val="00CF1976"/>
    <w:rsid w:val="00D03570"/>
    <w:rsid w:val="00D348F4"/>
    <w:rsid w:val="00D45B77"/>
    <w:rsid w:val="00D55097"/>
    <w:rsid w:val="00D74E79"/>
    <w:rsid w:val="00D860F7"/>
    <w:rsid w:val="00D863AE"/>
    <w:rsid w:val="00D87E5A"/>
    <w:rsid w:val="00D9695A"/>
    <w:rsid w:val="00DC2070"/>
    <w:rsid w:val="00DC57CE"/>
    <w:rsid w:val="00DD1396"/>
    <w:rsid w:val="00DD66FF"/>
    <w:rsid w:val="00DF296C"/>
    <w:rsid w:val="00E00FAC"/>
    <w:rsid w:val="00E07158"/>
    <w:rsid w:val="00E35EF2"/>
    <w:rsid w:val="00E50C53"/>
    <w:rsid w:val="00E5251C"/>
    <w:rsid w:val="00E6393B"/>
    <w:rsid w:val="00E656E7"/>
    <w:rsid w:val="00EA34AB"/>
    <w:rsid w:val="00EA7144"/>
    <w:rsid w:val="00EB5D0D"/>
    <w:rsid w:val="00EC15B9"/>
    <w:rsid w:val="00EC3346"/>
    <w:rsid w:val="00EC50DD"/>
    <w:rsid w:val="00EC77C8"/>
    <w:rsid w:val="00ED1FAA"/>
    <w:rsid w:val="00EE68A2"/>
    <w:rsid w:val="00EF41C8"/>
    <w:rsid w:val="00F411C5"/>
    <w:rsid w:val="00F65C01"/>
    <w:rsid w:val="00F97968"/>
    <w:rsid w:val="00FE1731"/>
    <w:rsid w:val="00FE1B00"/>
    <w:rsid w:val="00FE4A38"/>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BE3"/>
    <w:pPr>
      <w:spacing w:line="280" w:lineRule="exact"/>
    </w:pPr>
    <w:rPr>
      <w:sz w:val="24"/>
      <w:lang w:eastAsia="en-US"/>
    </w:rPr>
  </w:style>
  <w:style w:type="paragraph" w:styleId="Overskrift1">
    <w:name w:val="heading 1"/>
    <w:basedOn w:val="Normal"/>
    <w:next w:val="Normal"/>
    <w:qFormat/>
    <w:rsid w:val="00CE1BE3"/>
    <w:pPr>
      <w:keepNext/>
      <w:outlineLvl w:val="0"/>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skakt">
    <w:name w:val="skakt"/>
    <w:basedOn w:val="Normal"/>
    <w:rsid w:val="00CE1BE3"/>
    <w:pPr>
      <w:framePr w:w="2268" w:h="7370" w:hSpace="141" w:wrap="around" w:hAnchor="page" w:x="9270" w:anchorLock="1"/>
    </w:pPr>
    <w:rPr>
      <w:rFonts w:ascii="Arial" w:hAnsi="Arial"/>
      <w:sz w:val="15"/>
    </w:rPr>
  </w:style>
  <w:style w:type="paragraph" w:customStyle="1" w:styleId="diverse">
    <w:name w:val="diverse"/>
    <w:basedOn w:val="Normal"/>
    <w:rsid w:val="00CE1BE3"/>
    <w:rPr>
      <w:sz w:val="18"/>
    </w:rPr>
  </w:style>
  <w:style w:type="character" w:styleId="Hyperlink">
    <w:name w:val="Hyperlink"/>
    <w:basedOn w:val="Standardskrifttypeiafsnit"/>
    <w:rsid w:val="00CE1BE3"/>
    <w:rPr>
      <w:color w:val="0000FF"/>
      <w:u w:val="single"/>
    </w:rPr>
  </w:style>
  <w:style w:type="character" w:styleId="Sidetal">
    <w:name w:val="page number"/>
    <w:basedOn w:val="Standardskrifttypeiafsnit"/>
    <w:rsid w:val="00CE1BE3"/>
  </w:style>
  <w:style w:type="paragraph" w:customStyle="1" w:styleId="datomv">
    <w:name w:val="datomv"/>
    <w:basedOn w:val="skakt"/>
    <w:rsid w:val="00CE1BE3"/>
    <w:pPr>
      <w:framePr w:w="0" w:hRule="auto" w:hSpace="142" w:wrap="around" w:vAnchor="text" w:hAnchor="text" w:x="9073" w:y="1"/>
    </w:pPr>
    <w:rPr>
      <w:rFonts w:ascii="Times New Roman" w:hAnsi="Times New Roman"/>
      <w:sz w:val="24"/>
    </w:rPr>
  </w:style>
  <w:style w:type="paragraph" w:styleId="Sidehoved">
    <w:name w:val="header"/>
    <w:basedOn w:val="Normal"/>
    <w:link w:val="SidehovedTegn"/>
    <w:uiPriority w:val="99"/>
    <w:rsid w:val="00CE1BE3"/>
    <w:pPr>
      <w:tabs>
        <w:tab w:val="center" w:pos="4819"/>
        <w:tab w:val="right" w:pos="9638"/>
      </w:tabs>
    </w:pPr>
  </w:style>
  <w:style w:type="paragraph" w:customStyle="1" w:styleId="modt">
    <w:name w:val="modt"/>
    <w:basedOn w:val="Normal"/>
    <w:rsid w:val="00CE1BE3"/>
  </w:style>
  <w:style w:type="paragraph" w:styleId="Sidefod">
    <w:name w:val="footer"/>
    <w:basedOn w:val="Normal"/>
    <w:link w:val="SidefodTegn"/>
    <w:uiPriority w:val="99"/>
    <w:rsid w:val="00CE1BE3"/>
    <w:pPr>
      <w:tabs>
        <w:tab w:val="center" w:pos="4819"/>
        <w:tab w:val="right" w:pos="9638"/>
      </w:tabs>
    </w:pPr>
  </w:style>
  <w:style w:type="paragraph" w:customStyle="1" w:styleId="Enhed">
    <w:name w:val="Enhed"/>
    <w:basedOn w:val="Normal"/>
    <w:rsid w:val="00CE1BE3"/>
    <w:pPr>
      <w:framePr w:h="454" w:hRule="exact" w:wrap="around" w:vAnchor="page" w:hAnchor="page" w:x="9186" w:y="1702"/>
    </w:pPr>
    <w:rPr>
      <w:rFonts w:ascii="Arial" w:hAnsi="Arial"/>
      <w:b/>
      <w:caps/>
      <w:sz w:val="15"/>
    </w:rPr>
  </w:style>
  <w:style w:type="paragraph" w:styleId="Brdtekst">
    <w:name w:val="Body Text"/>
    <w:basedOn w:val="Normal"/>
    <w:rsid w:val="00CE1BE3"/>
    <w:pPr>
      <w:jc w:val="both"/>
    </w:pPr>
  </w:style>
  <w:style w:type="paragraph" w:customStyle="1" w:styleId="Emne">
    <w:name w:val="Emne"/>
    <w:basedOn w:val="Normal"/>
    <w:rsid w:val="00965C8B"/>
    <w:pPr>
      <w:tabs>
        <w:tab w:val="left" w:pos="1440"/>
      </w:tabs>
      <w:spacing w:line="240" w:lineRule="auto"/>
      <w:jc w:val="both"/>
    </w:pPr>
    <w:rPr>
      <w:rFonts w:ascii="Tahoma" w:hAnsi="Tahoma"/>
      <w:b/>
      <w:sz w:val="22"/>
      <w:szCs w:val="24"/>
      <w:lang w:val="en-GB" w:eastAsia="da-DK"/>
    </w:rPr>
  </w:style>
  <w:style w:type="paragraph" w:styleId="Markeringsbobletekst">
    <w:name w:val="Balloon Text"/>
    <w:basedOn w:val="Normal"/>
    <w:link w:val="MarkeringsbobletekstTegn"/>
    <w:rsid w:val="00EC50DD"/>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EC50DD"/>
    <w:rPr>
      <w:rFonts w:ascii="Tahoma" w:hAnsi="Tahoma" w:cs="Tahoma"/>
      <w:sz w:val="16"/>
      <w:szCs w:val="16"/>
      <w:lang w:eastAsia="en-US"/>
    </w:rPr>
  </w:style>
  <w:style w:type="character" w:styleId="Kommentarhenvisning">
    <w:name w:val="annotation reference"/>
    <w:basedOn w:val="Standardskrifttypeiafsnit"/>
    <w:rsid w:val="00355B31"/>
    <w:rPr>
      <w:sz w:val="16"/>
      <w:szCs w:val="16"/>
    </w:rPr>
  </w:style>
  <w:style w:type="paragraph" w:styleId="Kommentartekst">
    <w:name w:val="annotation text"/>
    <w:basedOn w:val="Normal"/>
    <w:link w:val="KommentartekstTegn"/>
    <w:rsid w:val="00355B31"/>
    <w:pPr>
      <w:spacing w:line="240" w:lineRule="auto"/>
    </w:pPr>
    <w:rPr>
      <w:sz w:val="20"/>
    </w:rPr>
  </w:style>
  <w:style w:type="character" w:customStyle="1" w:styleId="KommentartekstTegn">
    <w:name w:val="Kommentartekst Tegn"/>
    <w:basedOn w:val="Standardskrifttypeiafsnit"/>
    <w:link w:val="Kommentartekst"/>
    <w:rsid w:val="00355B31"/>
    <w:rPr>
      <w:lang w:eastAsia="en-US"/>
    </w:rPr>
  </w:style>
  <w:style w:type="paragraph" w:styleId="Kommentaremne">
    <w:name w:val="annotation subject"/>
    <w:basedOn w:val="Kommentartekst"/>
    <w:next w:val="Kommentartekst"/>
    <w:link w:val="KommentaremneTegn"/>
    <w:rsid w:val="00355B31"/>
    <w:rPr>
      <w:b/>
      <w:bCs/>
    </w:rPr>
  </w:style>
  <w:style w:type="character" w:customStyle="1" w:styleId="KommentaremneTegn">
    <w:name w:val="Kommentaremne Tegn"/>
    <w:basedOn w:val="KommentartekstTegn"/>
    <w:link w:val="Kommentaremne"/>
    <w:rsid w:val="00355B31"/>
    <w:rPr>
      <w:b/>
      <w:bCs/>
      <w:lang w:eastAsia="en-US"/>
    </w:rPr>
  </w:style>
  <w:style w:type="character" w:customStyle="1" w:styleId="SidehovedTegn">
    <w:name w:val="Sidehoved Tegn"/>
    <w:basedOn w:val="Standardskrifttypeiafsnit"/>
    <w:link w:val="Sidehoved"/>
    <w:uiPriority w:val="99"/>
    <w:rsid w:val="003763B4"/>
    <w:rPr>
      <w:sz w:val="24"/>
      <w:lang w:eastAsia="en-US"/>
    </w:rPr>
  </w:style>
  <w:style w:type="character" w:customStyle="1" w:styleId="SidefodTegn">
    <w:name w:val="Sidefod Tegn"/>
    <w:basedOn w:val="Standardskrifttypeiafsnit"/>
    <w:link w:val="Sidefod"/>
    <w:uiPriority w:val="99"/>
    <w:rsid w:val="003763B4"/>
    <w:rPr>
      <w:sz w:val="24"/>
      <w:lang w:eastAsia="en-US"/>
    </w:rPr>
  </w:style>
  <w:style w:type="paragraph" w:styleId="Listeafsnit">
    <w:name w:val="List Paragraph"/>
    <w:basedOn w:val="Normal"/>
    <w:uiPriority w:val="34"/>
    <w:qFormat/>
    <w:rsid w:val="00466BA6"/>
    <w:pPr>
      <w:ind w:left="720"/>
      <w:contextualSpacing/>
    </w:pPr>
  </w:style>
  <w:style w:type="paragraph" w:customStyle="1" w:styleId="Default">
    <w:name w:val="Default"/>
    <w:rsid w:val="00A37AD6"/>
    <w:pPr>
      <w:autoSpaceDE w:val="0"/>
      <w:autoSpaceDN w:val="0"/>
      <w:adjustRightInd w:val="0"/>
    </w:pPr>
    <w:rPr>
      <w:rFonts w:ascii="Calibri" w:hAnsi="Calibri" w:cs="Calibri"/>
      <w:color w:val="000000"/>
      <w:sz w:val="24"/>
      <w:szCs w:val="24"/>
    </w:rPr>
  </w:style>
  <w:style w:type="paragraph" w:styleId="Fodnotetekst">
    <w:name w:val="footnote text"/>
    <w:basedOn w:val="Normal"/>
    <w:link w:val="FodnotetekstTegn"/>
    <w:rsid w:val="000D4CE0"/>
    <w:pPr>
      <w:spacing w:line="240" w:lineRule="auto"/>
    </w:pPr>
    <w:rPr>
      <w:sz w:val="20"/>
    </w:rPr>
  </w:style>
  <w:style w:type="character" w:customStyle="1" w:styleId="FodnotetekstTegn">
    <w:name w:val="Fodnotetekst Tegn"/>
    <w:basedOn w:val="Standardskrifttypeiafsnit"/>
    <w:link w:val="Fodnotetekst"/>
    <w:rsid w:val="000D4CE0"/>
    <w:rPr>
      <w:lang w:eastAsia="en-US"/>
    </w:rPr>
  </w:style>
  <w:style w:type="character" w:styleId="Fodnotehenvisning">
    <w:name w:val="footnote reference"/>
    <w:basedOn w:val="Standardskrifttypeiafsnit"/>
    <w:rsid w:val="000D4CE0"/>
    <w:rPr>
      <w:vertAlign w:val="superscript"/>
    </w:rPr>
  </w:style>
  <w:style w:type="paragraph" w:customStyle="1" w:styleId="Pa0">
    <w:name w:val="Pa0"/>
    <w:basedOn w:val="Default"/>
    <w:next w:val="Default"/>
    <w:uiPriority w:val="99"/>
    <w:rsid w:val="000D4CE0"/>
    <w:pPr>
      <w:spacing w:line="961" w:lineRule="atLeast"/>
    </w:pPr>
    <w:rPr>
      <w:rFonts w:ascii="Trebuchet MS" w:hAnsi="Trebuchet MS" w:cs="Times New Roman"/>
      <w:color w:val="auto"/>
    </w:rPr>
  </w:style>
  <w:style w:type="character" w:customStyle="1" w:styleId="A0">
    <w:name w:val="A0"/>
    <w:uiPriority w:val="99"/>
    <w:rsid w:val="000D4CE0"/>
    <w:rPr>
      <w:rFonts w:cs="Trebuchet MS"/>
      <w:b/>
      <w:bCs/>
      <w:color w:val="221E1F"/>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BE3"/>
    <w:pPr>
      <w:spacing w:line="280" w:lineRule="exact"/>
    </w:pPr>
    <w:rPr>
      <w:sz w:val="24"/>
      <w:lang w:eastAsia="en-US"/>
    </w:rPr>
  </w:style>
  <w:style w:type="paragraph" w:styleId="Overskrift1">
    <w:name w:val="heading 1"/>
    <w:basedOn w:val="Normal"/>
    <w:next w:val="Normal"/>
    <w:qFormat/>
    <w:rsid w:val="00CE1BE3"/>
    <w:pPr>
      <w:keepNext/>
      <w:outlineLvl w:val="0"/>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skakt">
    <w:name w:val="skakt"/>
    <w:basedOn w:val="Normal"/>
    <w:rsid w:val="00CE1BE3"/>
    <w:pPr>
      <w:framePr w:w="2268" w:h="7370" w:hSpace="141" w:wrap="around" w:hAnchor="page" w:x="9270" w:anchorLock="1"/>
    </w:pPr>
    <w:rPr>
      <w:rFonts w:ascii="Arial" w:hAnsi="Arial"/>
      <w:sz w:val="15"/>
    </w:rPr>
  </w:style>
  <w:style w:type="paragraph" w:customStyle="1" w:styleId="diverse">
    <w:name w:val="diverse"/>
    <w:basedOn w:val="Normal"/>
    <w:rsid w:val="00CE1BE3"/>
    <w:rPr>
      <w:sz w:val="18"/>
    </w:rPr>
  </w:style>
  <w:style w:type="character" w:styleId="Hyperlink">
    <w:name w:val="Hyperlink"/>
    <w:basedOn w:val="Standardskrifttypeiafsnit"/>
    <w:rsid w:val="00CE1BE3"/>
    <w:rPr>
      <w:color w:val="0000FF"/>
      <w:u w:val="single"/>
    </w:rPr>
  </w:style>
  <w:style w:type="character" w:styleId="Sidetal">
    <w:name w:val="page number"/>
    <w:basedOn w:val="Standardskrifttypeiafsnit"/>
    <w:rsid w:val="00CE1BE3"/>
  </w:style>
  <w:style w:type="paragraph" w:customStyle="1" w:styleId="datomv">
    <w:name w:val="datomv"/>
    <w:basedOn w:val="skakt"/>
    <w:rsid w:val="00CE1BE3"/>
    <w:pPr>
      <w:framePr w:w="0" w:hRule="auto" w:hSpace="142" w:wrap="around" w:vAnchor="text" w:hAnchor="text" w:x="9073" w:y="1"/>
    </w:pPr>
    <w:rPr>
      <w:rFonts w:ascii="Times New Roman" w:hAnsi="Times New Roman"/>
      <w:sz w:val="24"/>
    </w:rPr>
  </w:style>
  <w:style w:type="paragraph" w:styleId="Sidehoved">
    <w:name w:val="header"/>
    <w:basedOn w:val="Normal"/>
    <w:link w:val="SidehovedTegn"/>
    <w:uiPriority w:val="99"/>
    <w:rsid w:val="00CE1BE3"/>
    <w:pPr>
      <w:tabs>
        <w:tab w:val="center" w:pos="4819"/>
        <w:tab w:val="right" w:pos="9638"/>
      </w:tabs>
    </w:pPr>
  </w:style>
  <w:style w:type="paragraph" w:customStyle="1" w:styleId="modt">
    <w:name w:val="modt"/>
    <w:basedOn w:val="Normal"/>
    <w:rsid w:val="00CE1BE3"/>
  </w:style>
  <w:style w:type="paragraph" w:styleId="Sidefod">
    <w:name w:val="footer"/>
    <w:basedOn w:val="Normal"/>
    <w:link w:val="SidefodTegn"/>
    <w:uiPriority w:val="99"/>
    <w:rsid w:val="00CE1BE3"/>
    <w:pPr>
      <w:tabs>
        <w:tab w:val="center" w:pos="4819"/>
        <w:tab w:val="right" w:pos="9638"/>
      </w:tabs>
    </w:pPr>
  </w:style>
  <w:style w:type="paragraph" w:customStyle="1" w:styleId="Enhed">
    <w:name w:val="Enhed"/>
    <w:basedOn w:val="Normal"/>
    <w:rsid w:val="00CE1BE3"/>
    <w:pPr>
      <w:framePr w:h="454" w:hRule="exact" w:wrap="around" w:vAnchor="page" w:hAnchor="page" w:x="9186" w:y="1702"/>
    </w:pPr>
    <w:rPr>
      <w:rFonts w:ascii="Arial" w:hAnsi="Arial"/>
      <w:b/>
      <w:caps/>
      <w:sz w:val="15"/>
    </w:rPr>
  </w:style>
  <w:style w:type="paragraph" w:styleId="Brdtekst">
    <w:name w:val="Body Text"/>
    <w:basedOn w:val="Normal"/>
    <w:rsid w:val="00CE1BE3"/>
    <w:pPr>
      <w:jc w:val="both"/>
    </w:pPr>
  </w:style>
  <w:style w:type="paragraph" w:customStyle="1" w:styleId="Emne">
    <w:name w:val="Emne"/>
    <w:basedOn w:val="Normal"/>
    <w:rsid w:val="00965C8B"/>
    <w:pPr>
      <w:tabs>
        <w:tab w:val="left" w:pos="1440"/>
      </w:tabs>
      <w:spacing w:line="240" w:lineRule="auto"/>
      <w:jc w:val="both"/>
    </w:pPr>
    <w:rPr>
      <w:rFonts w:ascii="Tahoma" w:hAnsi="Tahoma"/>
      <w:b/>
      <w:sz w:val="22"/>
      <w:szCs w:val="24"/>
      <w:lang w:val="en-GB" w:eastAsia="da-DK"/>
    </w:rPr>
  </w:style>
  <w:style w:type="paragraph" w:styleId="Markeringsbobletekst">
    <w:name w:val="Balloon Text"/>
    <w:basedOn w:val="Normal"/>
    <w:link w:val="MarkeringsbobletekstTegn"/>
    <w:rsid w:val="00EC50DD"/>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EC50DD"/>
    <w:rPr>
      <w:rFonts w:ascii="Tahoma" w:hAnsi="Tahoma" w:cs="Tahoma"/>
      <w:sz w:val="16"/>
      <w:szCs w:val="16"/>
      <w:lang w:eastAsia="en-US"/>
    </w:rPr>
  </w:style>
  <w:style w:type="character" w:styleId="Kommentarhenvisning">
    <w:name w:val="annotation reference"/>
    <w:basedOn w:val="Standardskrifttypeiafsnit"/>
    <w:rsid w:val="00355B31"/>
    <w:rPr>
      <w:sz w:val="16"/>
      <w:szCs w:val="16"/>
    </w:rPr>
  </w:style>
  <w:style w:type="paragraph" w:styleId="Kommentartekst">
    <w:name w:val="annotation text"/>
    <w:basedOn w:val="Normal"/>
    <w:link w:val="KommentartekstTegn"/>
    <w:rsid w:val="00355B31"/>
    <w:pPr>
      <w:spacing w:line="240" w:lineRule="auto"/>
    </w:pPr>
    <w:rPr>
      <w:sz w:val="20"/>
    </w:rPr>
  </w:style>
  <w:style w:type="character" w:customStyle="1" w:styleId="KommentartekstTegn">
    <w:name w:val="Kommentartekst Tegn"/>
    <w:basedOn w:val="Standardskrifttypeiafsnit"/>
    <w:link w:val="Kommentartekst"/>
    <w:rsid w:val="00355B31"/>
    <w:rPr>
      <w:lang w:eastAsia="en-US"/>
    </w:rPr>
  </w:style>
  <w:style w:type="paragraph" w:styleId="Kommentaremne">
    <w:name w:val="annotation subject"/>
    <w:basedOn w:val="Kommentartekst"/>
    <w:next w:val="Kommentartekst"/>
    <w:link w:val="KommentaremneTegn"/>
    <w:rsid w:val="00355B31"/>
    <w:rPr>
      <w:b/>
      <w:bCs/>
    </w:rPr>
  </w:style>
  <w:style w:type="character" w:customStyle="1" w:styleId="KommentaremneTegn">
    <w:name w:val="Kommentaremne Tegn"/>
    <w:basedOn w:val="KommentartekstTegn"/>
    <w:link w:val="Kommentaremne"/>
    <w:rsid w:val="00355B31"/>
    <w:rPr>
      <w:b/>
      <w:bCs/>
      <w:lang w:eastAsia="en-US"/>
    </w:rPr>
  </w:style>
  <w:style w:type="character" w:customStyle="1" w:styleId="SidehovedTegn">
    <w:name w:val="Sidehoved Tegn"/>
    <w:basedOn w:val="Standardskrifttypeiafsnit"/>
    <w:link w:val="Sidehoved"/>
    <w:uiPriority w:val="99"/>
    <w:rsid w:val="003763B4"/>
    <w:rPr>
      <w:sz w:val="24"/>
      <w:lang w:eastAsia="en-US"/>
    </w:rPr>
  </w:style>
  <w:style w:type="character" w:customStyle="1" w:styleId="SidefodTegn">
    <w:name w:val="Sidefod Tegn"/>
    <w:basedOn w:val="Standardskrifttypeiafsnit"/>
    <w:link w:val="Sidefod"/>
    <w:uiPriority w:val="99"/>
    <w:rsid w:val="003763B4"/>
    <w:rPr>
      <w:sz w:val="24"/>
      <w:lang w:eastAsia="en-US"/>
    </w:rPr>
  </w:style>
  <w:style w:type="paragraph" w:styleId="Listeafsnit">
    <w:name w:val="List Paragraph"/>
    <w:basedOn w:val="Normal"/>
    <w:uiPriority w:val="34"/>
    <w:qFormat/>
    <w:rsid w:val="00466BA6"/>
    <w:pPr>
      <w:ind w:left="720"/>
      <w:contextualSpacing/>
    </w:pPr>
  </w:style>
  <w:style w:type="paragraph" w:customStyle="1" w:styleId="Default">
    <w:name w:val="Default"/>
    <w:rsid w:val="00A37AD6"/>
    <w:pPr>
      <w:autoSpaceDE w:val="0"/>
      <w:autoSpaceDN w:val="0"/>
      <w:adjustRightInd w:val="0"/>
    </w:pPr>
    <w:rPr>
      <w:rFonts w:ascii="Calibri" w:hAnsi="Calibri" w:cs="Calibri"/>
      <w:color w:val="000000"/>
      <w:sz w:val="24"/>
      <w:szCs w:val="24"/>
    </w:rPr>
  </w:style>
  <w:style w:type="paragraph" w:styleId="Fodnotetekst">
    <w:name w:val="footnote text"/>
    <w:basedOn w:val="Normal"/>
    <w:link w:val="FodnotetekstTegn"/>
    <w:rsid w:val="000D4CE0"/>
    <w:pPr>
      <w:spacing w:line="240" w:lineRule="auto"/>
    </w:pPr>
    <w:rPr>
      <w:sz w:val="20"/>
    </w:rPr>
  </w:style>
  <w:style w:type="character" w:customStyle="1" w:styleId="FodnotetekstTegn">
    <w:name w:val="Fodnotetekst Tegn"/>
    <w:basedOn w:val="Standardskrifttypeiafsnit"/>
    <w:link w:val="Fodnotetekst"/>
    <w:rsid w:val="000D4CE0"/>
    <w:rPr>
      <w:lang w:eastAsia="en-US"/>
    </w:rPr>
  </w:style>
  <w:style w:type="character" w:styleId="Fodnotehenvisning">
    <w:name w:val="footnote reference"/>
    <w:basedOn w:val="Standardskrifttypeiafsnit"/>
    <w:rsid w:val="000D4CE0"/>
    <w:rPr>
      <w:vertAlign w:val="superscript"/>
    </w:rPr>
  </w:style>
  <w:style w:type="paragraph" w:customStyle="1" w:styleId="Pa0">
    <w:name w:val="Pa0"/>
    <w:basedOn w:val="Default"/>
    <w:next w:val="Default"/>
    <w:uiPriority w:val="99"/>
    <w:rsid w:val="000D4CE0"/>
    <w:pPr>
      <w:spacing w:line="961" w:lineRule="atLeast"/>
    </w:pPr>
    <w:rPr>
      <w:rFonts w:ascii="Trebuchet MS" w:hAnsi="Trebuchet MS" w:cs="Times New Roman"/>
      <w:color w:val="auto"/>
    </w:rPr>
  </w:style>
  <w:style w:type="character" w:customStyle="1" w:styleId="A0">
    <w:name w:val="A0"/>
    <w:uiPriority w:val="99"/>
    <w:rsid w:val="000D4CE0"/>
    <w:rPr>
      <w:rFonts w:cs="Trebuchet MS"/>
      <w:b/>
      <w:bCs/>
      <w:color w:val="221E1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3445">
      <w:bodyDiv w:val="1"/>
      <w:marLeft w:val="0"/>
      <w:marRight w:val="0"/>
      <w:marTop w:val="0"/>
      <w:marBottom w:val="0"/>
      <w:divBdr>
        <w:top w:val="none" w:sz="0" w:space="0" w:color="auto"/>
        <w:left w:val="none" w:sz="0" w:space="0" w:color="auto"/>
        <w:bottom w:val="none" w:sz="0" w:space="0" w:color="auto"/>
        <w:right w:val="none" w:sz="0" w:space="0" w:color="auto"/>
      </w:divBdr>
    </w:div>
    <w:div w:id="8404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ilpas\Skabelon\sfsEbrevuk.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D0A6E-7692-4DB5-A498-F2819E07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sfsEbrevuk.dot</Template>
  <TotalTime>1</TotalTime>
  <Pages>2</Pages>
  <Words>1101</Words>
  <Characters>5857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Slotsholmsgade 10-12</vt:lpstr>
    </vt:vector>
  </TitlesOfParts>
  <Company>Statens IT</Company>
  <LinksUpToDate>false</LinksUpToDate>
  <CharactersWithSpaces>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Slotsholmsgade 10-12</dc:title>
  <dc:creator>bbt-sfs</dc:creator>
  <cp:lastModifiedBy>Ditte Folke Kikkert Henriksen (SFS)</cp:lastModifiedBy>
  <cp:revision>2</cp:revision>
  <cp:lastPrinted>2014-04-07T13:38:00Z</cp:lastPrinted>
  <dcterms:created xsi:type="dcterms:W3CDTF">2015-05-05T12:54:00Z</dcterms:created>
  <dcterms:modified xsi:type="dcterms:W3CDTF">2015-05-05T12:54:00Z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ne" linkTarget="Overskrift">
    <vt:lpwstr>.</vt:lpwstr>
  </property>
  <property fmtid="{D5CDD505-2E9C-101B-9397-08002B2CF9AE}" pid="3" name="Journalnr" linkTarget="Sag">
    <vt:lpwstr>.</vt:lpwstr>
  </property>
  <property fmtid="{D5CDD505-2E9C-101B-9397-08002B2CF9AE}" pid="4" name="Dokdato" linkTarget="Dato">
    <vt:lpwstr>.</vt:lpwstr>
  </property>
  <property fmtid="{D5CDD505-2E9C-101B-9397-08002B2CF9AE}" pid="5" name="Type">
    <vt:lpwstr>Brev</vt:lpwstr>
  </property>
</Properties>
</file>